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6BA2FBCE"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265D34D7" w14:textId="77777777" w:rsidR="004143C3" w:rsidRPr="004143C3" w:rsidRDefault="004143C3" w:rsidP="004143C3">
            <w:pPr>
              <w:jc w:val="center"/>
              <w:rPr>
                <w:sz w:val="16"/>
                <w:szCs w:val="16"/>
              </w:rPr>
            </w:pPr>
          </w:p>
          <w:p w14:paraId="60C0E2E9" w14:textId="77777777" w:rsidR="004143C3" w:rsidRDefault="004143C3" w:rsidP="004143C3">
            <w:pPr>
              <w:jc w:val="center"/>
            </w:pPr>
          </w:p>
          <w:p w14:paraId="62CDF76F" w14:textId="77777777" w:rsidR="004143C3" w:rsidRDefault="004143C3" w:rsidP="004143C3">
            <w:pPr>
              <w:jc w:val="center"/>
            </w:pPr>
            <w:r>
              <w:rPr>
                <w:noProof/>
              </w:rPr>
              <w:drawing>
                <wp:inline distT="0" distB="0" distL="0" distR="0" wp14:anchorId="03199FE6" wp14:editId="0917EF28">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29A41A8" w14:textId="77777777" w:rsidR="004143C3" w:rsidRDefault="004143C3" w:rsidP="004143C3">
            <w:pPr>
              <w:jc w:val="center"/>
            </w:pPr>
          </w:p>
          <w:p w14:paraId="42D585D3" w14:textId="77777777" w:rsidR="004143C3" w:rsidRDefault="004143C3" w:rsidP="004143C3">
            <w:pPr>
              <w:jc w:val="center"/>
            </w:pPr>
          </w:p>
        </w:tc>
        <w:tc>
          <w:tcPr>
            <w:tcW w:w="7194" w:type="dxa"/>
          </w:tcPr>
          <w:p w14:paraId="147BC78C" w14:textId="2776AFF5" w:rsidR="004143C3" w:rsidRPr="008B0AEE" w:rsidRDefault="00C11A1C"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ACADEMIC ADVISING</w:t>
            </w:r>
            <w:bookmarkStart w:id="0" w:name="_GoBack"/>
            <w:bookmarkEnd w:id="0"/>
          </w:p>
        </w:tc>
      </w:tr>
      <w:tr w:rsidR="004143C3" w14:paraId="5946E1BC"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66A305A5" w14:textId="77777777" w:rsidR="004143C3" w:rsidRDefault="004143C3"/>
        </w:tc>
        <w:tc>
          <w:tcPr>
            <w:tcW w:w="7194" w:type="dxa"/>
          </w:tcPr>
          <w:p w14:paraId="171C75DE"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39E280D8"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4175A4FA"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0F4EDE1D" w14:textId="77777777" w:rsidR="004143C3" w:rsidRDefault="004143C3"/>
    <w:p w14:paraId="5FABB8D4" w14:textId="46DDC2C8" w:rsidR="007E4788" w:rsidRDefault="004D4A26" w:rsidP="004D4A26">
      <w:pPr>
        <w:pStyle w:val="Heading1"/>
      </w:pPr>
      <w:r>
        <w:t>Project Title</w:t>
      </w:r>
      <w:r w:rsidR="00306EFD">
        <w:t>: Case Management Advising</w:t>
      </w:r>
    </w:p>
    <w:p w14:paraId="59DE82FE" w14:textId="77777777" w:rsidR="004D4A26" w:rsidRPr="004D4A26" w:rsidRDefault="004D4A26" w:rsidP="004D4A26"/>
    <w:p w14:paraId="48542C48" w14:textId="6FDC3888" w:rsidR="004D4A26" w:rsidRDefault="004D4A26" w:rsidP="004D4A26">
      <w:pPr>
        <w:pStyle w:val="Heading1"/>
      </w:pPr>
      <w:r>
        <w:t>College-wide Strategic Goal</w:t>
      </w:r>
      <w:r w:rsidR="00306EFD">
        <w:t>: Increase Student Completion</w:t>
      </w:r>
    </w:p>
    <w:p w14:paraId="1C99BF75" w14:textId="77777777" w:rsidR="00306EFD" w:rsidRPr="00CB795A" w:rsidRDefault="00306EFD" w:rsidP="00306EFD">
      <w:pPr>
        <w:rPr>
          <w:i/>
        </w:rPr>
      </w:pPr>
      <w:r w:rsidRPr="00CB795A">
        <w:rPr>
          <w:i/>
        </w:rPr>
        <w:t>Strategy No. 1: Implement SLCC Pathways</w:t>
      </w:r>
    </w:p>
    <w:p w14:paraId="6033901C" w14:textId="28A59C00" w:rsidR="00DD6188" w:rsidRDefault="00306EFD" w:rsidP="00DD6188">
      <w:r w:rsidRPr="00CB795A">
        <w:rPr>
          <w:i/>
        </w:rPr>
        <w:t>Create and integrate guided areas of study intentionally designed to enhance learning and clarify a student's route to program completion, a career and further education. Successful implementation will provide a holistic academic advising and student-supported experience while reinforcing student development.</w:t>
      </w:r>
    </w:p>
    <w:p w14:paraId="352C66BA" w14:textId="0EA7CA37" w:rsidR="00DD6188" w:rsidRDefault="00DD6188" w:rsidP="00DD6188">
      <w:pPr>
        <w:pStyle w:val="Heading1"/>
      </w:pPr>
      <w:r>
        <w:t>Assessment Overview</w:t>
      </w:r>
      <w:r w:rsidR="00306EFD">
        <w:t>: Holistic Advising</w:t>
      </w:r>
    </w:p>
    <w:p w14:paraId="28BB08E0" w14:textId="77777777" w:rsidR="00306EFD" w:rsidRDefault="00306EFD" w:rsidP="00306EFD">
      <w:r>
        <w:t>The purpose of the holistic or “case-management” advising is not only to provide student support through completion, but also encourage persistence from semester-to-semester and year-to-year. Academic Advisors will, through establishing mentor-like support and clear communication across a supportive network, coach the student through how to evaluate and adjust their goals; understand their priorities within the changing contexts of their lives; provide students with just-in-time feedback, meaningful interventions, relevant referrals, and direction to navigate higher education; how to create and modify an academic plan; and how to identify their support network.</w:t>
      </w:r>
    </w:p>
    <w:p w14:paraId="2A505144" w14:textId="77777777" w:rsidR="00306EFD" w:rsidRDefault="00306EFD" w:rsidP="00306EFD">
      <w:r>
        <w:t>The structure for case managed advising establishes key milestones for students. These milestones are widely communicated so both the student and their Academic Advisor know the purpose for student engagement in the academic advising process. Once the advising expectations are set, college personnel and students can better identify the support the College needs to provide to encourage students to complete mandatory and recommended activities.</w:t>
      </w:r>
    </w:p>
    <w:p w14:paraId="24292899" w14:textId="77777777" w:rsidR="004D4A26" w:rsidRDefault="004D4A26" w:rsidP="004D4A26">
      <w:pPr>
        <w:pStyle w:val="Heading1"/>
      </w:pPr>
      <w:r>
        <w:t>Methodology (Plan/Method)</w:t>
      </w:r>
    </w:p>
    <w:p w14:paraId="5223E7A5" w14:textId="77777777" w:rsidR="00C66AAF" w:rsidRDefault="00C66AAF" w:rsidP="00C66AAF">
      <w:pPr>
        <w:pStyle w:val="Heading2"/>
      </w:pPr>
      <w:r>
        <w:t>Automated Dashboards at performance.slcc.edu</w:t>
      </w:r>
    </w:p>
    <w:p w14:paraId="3DEB98D2" w14:textId="3F1EB569" w:rsidR="0098400A" w:rsidRPr="00B513E4" w:rsidRDefault="0098400A" w:rsidP="0098400A">
      <w:r>
        <w:t xml:space="preserve">Academic Advising worked with Data Science and Analytics to create high-level summaries of case-management advising on the </w:t>
      </w:r>
      <w:hyperlink r:id="rId11" w:history="1">
        <w:r w:rsidRPr="00CB66D6">
          <w:rPr>
            <w:rStyle w:val="Hyperlink"/>
          </w:rPr>
          <w:t>Pre-enrollment Dashboard available on the SLCC website</w:t>
        </w:r>
      </w:hyperlink>
      <w:r>
        <w:t xml:space="preserve">. </w:t>
      </w:r>
      <w:r w:rsidR="007D179A">
        <w:t>The pre-enrollment dashboard is still being refined and tested but gives a cursory glance at student success in the case-management cohorts up to this point.</w:t>
      </w:r>
    </w:p>
    <w:p w14:paraId="125293B9" w14:textId="77777777" w:rsidR="0098400A" w:rsidRDefault="0098400A" w:rsidP="0098400A">
      <w:pPr>
        <w:keepNext/>
      </w:pPr>
      <w:r w:rsidRPr="00B513E4">
        <w:rPr>
          <w:noProof/>
        </w:rPr>
        <w:lastRenderedPageBreak/>
        <w:drawing>
          <wp:inline distT="0" distB="0" distL="0" distR="0" wp14:anchorId="7F714FC9" wp14:editId="77553170">
            <wp:extent cx="6488628" cy="5488296"/>
            <wp:effectExtent l="19050" t="19050" r="26670" b="17780"/>
            <wp:docPr id="5" name="Picture 5" descr="Screenshot of pre-enrollment dashboard showing a cohort of students broken down by enrolled, oriented, meeting with advisor, meeting with career coach, re-enrollment, and grad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shboard Screenshot.PNG"/>
                    <pic:cNvPicPr/>
                  </pic:nvPicPr>
                  <pic:blipFill>
                    <a:blip r:embed="rId12">
                      <a:extLst>
                        <a:ext uri="{28A0092B-C50C-407E-A947-70E740481C1C}">
                          <a14:useLocalDpi xmlns:a14="http://schemas.microsoft.com/office/drawing/2010/main" val="0"/>
                        </a:ext>
                      </a:extLst>
                    </a:blip>
                    <a:stretch>
                      <a:fillRect/>
                    </a:stretch>
                  </pic:blipFill>
                  <pic:spPr>
                    <a:xfrm>
                      <a:off x="0" y="0"/>
                      <a:ext cx="6554410" cy="5543936"/>
                    </a:xfrm>
                    <a:prstGeom prst="rect">
                      <a:avLst/>
                    </a:prstGeom>
                    <a:ln>
                      <a:solidFill>
                        <a:schemeClr val="tx1"/>
                      </a:solidFill>
                    </a:ln>
                  </pic:spPr>
                </pic:pic>
              </a:graphicData>
            </a:graphic>
          </wp:inline>
        </w:drawing>
      </w:r>
    </w:p>
    <w:p w14:paraId="04F9D51C" w14:textId="749873C0" w:rsidR="0098400A" w:rsidRDefault="0098400A" w:rsidP="0098400A">
      <w:pPr>
        <w:pStyle w:val="Caption"/>
        <w:rPr>
          <w:noProof/>
        </w:rPr>
      </w:pPr>
      <w:r>
        <w:t xml:space="preserve">Figure </w:t>
      </w:r>
      <w:r w:rsidR="00CD75FE">
        <w:t>1</w:t>
      </w:r>
      <w:r>
        <w:t xml:space="preserve"> Screenshot</w:t>
      </w:r>
      <w:r>
        <w:rPr>
          <w:noProof/>
        </w:rPr>
        <w:t xml:space="preserve"> of Pre-enollment Dashboard</w:t>
      </w:r>
    </w:p>
    <w:p w14:paraId="179D8E74" w14:textId="126EBBCE" w:rsidR="000E2B0C" w:rsidRDefault="000E2B0C" w:rsidP="000E2B0C"/>
    <w:p w14:paraId="2FB84A50" w14:textId="77777777" w:rsidR="000E2B0C" w:rsidRDefault="000E2B0C" w:rsidP="000E2B0C">
      <w:pPr>
        <w:pStyle w:val="Heading1"/>
      </w:pPr>
      <w:r w:rsidRPr="00B513E4">
        <w:t xml:space="preserve">Touchpoint Tracking using </w:t>
      </w:r>
      <w:proofErr w:type="spellStart"/>
      <w:r w:rsidRPr="00B513E4">
        <w:t>MySuccess</w:t>
      </w:r>
      <w:proofErr w:type="spellEnd"/>
    </w:p>
    <w:p w14:paraId="4C07B17C" w14:textId="77777777" w:rsidR="000E2B0C" w:rsidRPr="00610886" w:rsidRDefault="000E2B0C" w:rsidP="000E2B0C">
      <w:r>
        <w:t xml:space="preserve">The original plan for Touchpoint Tracking included the touchpoints listed below. </w:t>
      </w:r>
    </w:p>
    <w:tbl>
      <w:tblPr>
        <w:tblStyle w:val="GridTable2-Accent1"/>
        <w:tblW w:w="0" w:type="auto"/>
        <w:tblLook w:val="04A0" w:firstRow="1" w:lastRow="0" w:firstColumn="1" w:lastColumn="0" w:noHBand="0" w:noVBand="1"/>
      </w:tblPr>
      <w:tblGrid>
        <w:gridCol w:w="5395"/>
        <w:gridCol w:w="5395"/>
      </w:tblGrid>
      <w:tr w:rsidR="000E2B0C" w:rsidRPr="00B513E4" w14:paraId="4EAA4C0A" w14:textId="77777777" w:rsidTr="00430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30B464" w14:textId="77777777" w:rsidR="000E2B0C" w:rsidRPr="00B513E4" w:rsidRDefault="000E2B0C" w:rsidP="00430375">
            <w:r w:rsidRPr="00B513E4">
              <w:t>Recommended Touchpoint</w:t>
            </w:r>
          </w:p>
        </w:tc>
        <w:tc>
          <w:tcPr>
            <w:tcW w:w="5395" w:type="dxa"/>
          </w:tcPr>
          <w:p w14:paraId="0D855213" w14:textId="77777777" w:rsidR="000E2B0C" w:rsidRPr="00B513E4" w:rsidRDefault="000E2B0C" w:rsidP="00430375">
            <w:pPr>
              <w:cnfStyle w:val="100000000000" w:firstRow="1" w:lastRow="0" w:firstColumn="0" w:lastColumn="0" w:oddVBand="0" w:evenVBand="0" w:oddHBand="0" w:evenHBand="0" w:firstRowFirstColumn="0" w:firstRowLastColumn="0" w:lastRowFirstColumn="0" w:lastRowLastColumn="0"/>
            </w:pPr>
            <w:proofErr w:type="spellStart"/>
            <w:r w:rsidRPr="00B513E4">
              <w:t>MySuccess</w:t>
            </w:r>
            <w:proofErr w:type="spellEnd"/>
            <w:r w:rsidRPr="00B513E4">
              <w:t xml:space="preserve"> Tracking Item</w:t>
            </w:r>
          </w:p>
        </w:tc>
      </w:tr>
      <w:tr w:rsidR="000E2B0C" w:rsidRPr="00B513E4" w14:paraId="69CC7796"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633EAC1" w14:textId="77777777" w:rsidR="000E2B0C" w:rsidRPr="00B513E4" w:rsidRDefault="000E2B0C" w:rsidP="00430375">
            <w:r w:rsidRPr="00B513E4">
              <w:t>1st contact-Introductory Email</w:t>
            </w:r>
          </w:p>
        </w:tc>
        <w:tc>
          <w:tcPr>
            <w:tcW w:w="5395" w:type="dxa"/>
          </w:tcPr>
          <w:p w14:paraId="40C1E71F" w14:textId="77777777" w:rsidR="000E2B0C" w:rsidRPr="00B513E4" w:rsidRDefault="000E2B0C" w:rsidP="00430375">
            <w:pPr>
              <w:cnfStyle w:val="000000100000" w:firstRow="0" w:lastRow="0" w:firstColumn="0" w:lastColumn="0" w:oddVBand="0" w:evenVBand="0" w:oddHBand="1" w:evenHBand="0" w:firstRowFirstColumn="0" w:firstRowLastColumn="0" w:lastRowFirstColumn="0" w:lastRowLastColumn="0"/>
            </w:pPr>
            <w:r w:rsidRPr="00B513E4">
              <w:t>1st Contact Flag</w:t>
            </w:r>
          </w:p>
        </w:tc>
      </w:tr>
      <w:tr w:rsidR="000E2B0C" w:rsidRPr="00B513E4" w14:paraId="1726029C" w14:textId="77777777" w:rsidTr="00430375">
        <w:tc>
          <w:tcPr>
            <w:cnfStyle w:val="001000000000" w:firstRow="0" w:lastRow="0" w:firstColumn="1" w:lastColumn="0" w:oddVBand="0" w:evenVBand="0" w:oddHBand="0" w:evenHBand="0" w:firstRowFirstColumn="0" w:firstRowLastColumn="0" w:lastRowFirstColumn="0" w:lastRowLastColumn="0"/>
            <w:tcW w:w="5395" w:type="dxa"/>
          </w:tcPr>
          <w:p w14:paraId="6414A1D6" w14:textId="77777777" w:rsidR="000E2B0C" w:rsidRPr="00B513E4" w:rsidRDefault="000E2B0C" w:rsidP="00430375">
            <w:r w:rsidRPr="00B513E4">
              <w:t>2nd contact-Personalized Email</w:t>
            </w:r>
          </w:p>
        </w:tc>
        <w:tc>
          <w:tcPr>
            <w:tcW w:w="5395" w:type="dxa"/>
          </w:tcPr>
          <w:p w14:paraId="0691819C" w14:textId="77777777" w:rsidR="000E2B0C" w:rsidRPr="00B513E4" w:rsidRDefault="000E2B0C" w:rsidP="00430375">
            <w:pPr>
              <w:cnfStyle w:val="000000000000" w:firstRow="0" w:lastRow="0" w:firstColumn="0" w:lastColumn="0" w:oddVBand="0" w:evenVBand="0" w:oddHBand="0" w:evenHBand="0" w:firstRowFirstColumn="0" w:firstRowLastColumn="0" w:lastRowFirstColumn="0" w:lastRowLastColumn="0"/>
            </w:pPr>
            <w:r w:rsidRPr="00B513E4">
              <w:t>2nd Contact Flag</w:t>
            </w:r>
          </w:p>
        </w:tc>
      </w:tr>
      <w:tr w:rsidR="000E2B0C" w:rsidRPr="00B513E4" w14:paraId="7917A095"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83ED258" w14:textId="77777777" w:rsidR="000E2B0C" w:rsidRPr="00B513E4" w:rsidRDefault="000E2B0C" w:rsidP="00430375">
            <w:r w:rsidRPr="00B513E4">
              <w:t>3rd contact-phone call</w:t>
            </w:r>
          </w:p>
        </w:tc>
        <w:tc>
          <w:tcPr>
            <w:tcW w:w="5395" w:type="dxa"/>
          </w:tcPr>
          <w:p w14:paraId="0D18523D" w14:textId="77777777" w:rsidR="000E2B0C" w:rsidRPr="00B513E4" w:rsidRDefault="000E2B0C" w:rsidP="00430375">
            <w:pPr>
              <w:cnfStyle w:val="000000100000" w:firstRow="0" w:lastRow="0" w:firstColumn="0" w:lastColumn="0" w:oddVBand="0" w:evenVBand="0" w:oddHBand="1" w:evenHBand="0" w:firstRowFirstColumn="0" w:firstRowLastColumn="0" w:lastRowFirstColumn="0" w:lastRowLastColumn="0"/>
            </w:pPr>
            <w:r w:rsidRPr="00B513E4">
              <w:t>3rd Contact Flag</w:t>
            </w:r>
          </w:p>
        </w:tc>
      </w:tr>
      <w:tr w:rsidR="000E2B0C" w:rsidRPr="00B513E4" w14:paraId="591758F2" w14:textId="77777777" w:rsidTr="00430375">
        <w:tc>
          <w:tcPr>
            <w:cnfStyle w:val="001000000000" w:firstRow="0" w:lastRow="0" w:firstColumn="1" w:lastColumn="0" w:oddVBand="0" w:evenVBand="0" w:oddHBand="0" w:evenHBand="0" w:firstRowFirstColumn="0" w:firstRowLastColumn="0" w:lastRowFirstColumn="0" w:lastRowLastColumn="0"/>
            <w:tcW w:w="5395" w:type="dxa"/>
          </w:tcPr>
          <w:p w14:paraId="1A787DB3" w14:textId="77777777" w:rsidR="000E2B0C" w:rsidRPr="00B513E4" w:rsidRDefault="000E2B0C" w:rsidP="00430375">
            <w:r w:rsidRPr="00B513E4">
              <w:t>Student Responded to Contact</w:t>
            </w:r>
          </w:p>
        </w:tc>
        <w:tc>
          <w:tcPr>
            <w:tcW w:w="5395" w:type="dxa"/>
          </w:tcPr>
          <w:p w14:paraId="1B7B0263" w14:textId="77777777" w:rsidR="000E2B0C" w:rsidRPr="00B513E4" w:rsidRDefault="000E2B0C" w:rsidP="00430375">
            <w:pPr>
              <w:cnfStyle w:val="000000000000" w:firstRow="0" w:lastRow="0" w:firstColumn="0" w:lastColumn="0" w:oddVBand="0" w:evenVBand="0" w:oddHBand="0" w:evenHBand="0" w:firstRowFirstColumn="0" w:firstRowLastColumn="0" w:lastRowFirstColumn="0" w:lastRowLastColumn="0"/>
            </w:pPr>
            <w:r w:rsidRPr="00B513E4">
              <w:t>Thanks for responding kudo</w:t>
            </w:r>
          </w:p>
        </w:tc>
      </w:tr>
      <w:tr w:rsidR="000E2B0C" w:rsidRPr="00B513E4" w14:paraId="5502BF00"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FBC129A" w14:textId="77777777" w:rsidR="000E2B0C" w:rsidRPr="00B513E4" w:rsidRDefault="000E2B0C" w:rsidP="00430375">
            <w:r w:rsidRPr="00B513E4">
              <w:t>Intake Form</w:t>
            </w:r>
          </w:p>
        </w:tc>
        <w:tc>
          <w:tcPr>
            <w:tcW w:w="5395" w:type="dxa"/>
          </w:tcPr>
          <w:p w14:paraId="1D22A438" w14:textId="77777777" w:rsidR="000E2B0C" w:rsidRPr="00B513E4" w:rsidRDefault="000E2B0C" w:rsidP="00430375">
            <w:pPr>
              <w:cnfStyle w:val="000000100000" w:firstRow="0" w:lastRow="0" w:firstColumn="0" w:lastColumn="0" w:oddVBand="0" w:evenVBand="0" w:oddHBand="1" w:evenHBand="0" w:firstRowFirstColumn="0" w:firstRowLastColumn="0" w:lastRowFirstColumn="0" w:lastRowLastColumn="0"/>
            </w:pPr>
            <w:r w:rsidRPr="00B513E4">
              <w:t>You’ve completed the intake form kudo</w:t>
            </w:r>
          </w:p>
        </w:tc>
      </w:tr>
      <w:tr w:rsidR="000E2B0C" w:rsidRPr="00B513E4" w14:paraId="57DCDA9C" w14:textId="77777777" w:rsidTr="00430375">
        <w:tc>
          <w:tcPr>
            <w:cnfStyle w:val="001000000000" w:firstRow="0" w:lastRow="0" w:firstColumn="1" w:lastColumn="0" w:oddVBand="0" w:evenVBand="0" w:oddHBand="0" w:evenHBand="0" w:firstRowFirstColumn="0" w:firstRowLastColumn="0" w:lastRowFirstColumn="0" w:lastRowLastColumn="0"/>
            <w:tcW w:w="5395" w:type="dxa"/>
          </w:tcPr>
          <w:p w14:paraId="656647DA" w14:textId="77777777" w:rsidR="000E2B0C" w:rsidRPr="00B513E4" w:rsidRDefault="000E2B0C" w:rsidP="00430375">
            <w:r w:rsidRPr="00B513E4">
              <w:t>1st Mandatory Appointment</w:t>
            </w:r>
          </w:p>
        </w:tc>
        <w:tc>
          <w:tcPr>
            <w:tcW w:w="5395" w:type="dxa"/>
          </w:tcPr>
          <w:p w14:paraId="1FDF62C5" w14:textId="77777777" w:rsidR="000E2B0C" w:rsidRPr="00B513E4" w:rsidRDefault="000E2B0C" w:rsidP="00430375">
            <w:pPr>
              <w:cnfStyle w:val="000000000000" w:firstRow="0" w:lastRow="0" w:firstColumn="0" w:lastColumn="0" w:oddVBand="0" w:evenVBand="0" w:oddHBand="0" w:evenHBand="0" w:firstRowFirstColumn="0" w:firstRowLastColumn="0" w:lastRowFirstColumn="0" w:lastRowLastColumn="0"/>
            </w:pPr>
            <w:r w:rsidRPr="00B513E4">
              <w:t>1st Mandatory Appointment Success Plan</w:t>
            </w:r>
          </w:p>
        </w:tc>
      </w:tr>
      <w:tr w:rsidR="000E2B0C" w:rsidRPr="00B513E4" w14:paraId="558A974B"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EBB719B" w14:textId="77777777" w:rsidR="000E2B0C" w:rsidRPr="00B513E4" w:rsidRDefault="000E2B0C" w:rsidP="00430375">
            <w:r w:rsidRPr="00B513E4">
              <w:t>2nd Mandatory Appointment</w:t>
            </w:r>
          </w:p>
        </w:tc>
        <w:tc>
          <w:tcPr>
            <w:tcW w:w="5395" w:type="dxa"/>
          </w:tcPr>
          <w:p w14:paraId="08022679" w14:textId="77777777" w:rsidR="000E2B0C" w:rsidRPr="00B513E4" w:rsidRDefault="000E2B0C" w:rsidP="00430375">
            <w:pPr>
              <w:cnfStyle w:val="000000100000" w:firstRow="0" w:lastRow="0" w:firstColumn="0" w:lastColumn="0" w:oddVBand="0" w:evenVBand="0" w:oddHBand="1" w:evenHBand="0" w:firstRowFirstColumn="0" w:firstRowLastColumn="0" w:lastRowFirstColumn="0" w:lastRowLastColumn="0"/>
            </w:pPr>
            <w:r w:rsidRPr="00B513E4">
              <w:t>2nd Mandatory Appointment Success Plan</w:t>
            </w:r>
          </w:p>
        </w:tc>
      </w:tr>
      <w:tr w:rsidR="000E2B0C" w:rsidRPr="00B513E4" w14:paraId="23C363EC" w14:textId="77777777" w:rsidTr="00430375">
        <w:tc>
          <w:tcPr>
            <w:cnfStyle w:val="001000000000" w:firstRow="0" w:lastRow="0" w:firstColumn="1" w:lastColumn="0" w:oddVBand="0" w:evenVBand="0" w:oddHBand="0" w:evenHBand="0" w:firstRowFirstColumn="0" w:firstRowLastColumn="0" w:lastRowFirstColumn="0" w:lastRowLastColumn="0"/>
            <w:tcW w:w="5395" w:type="dxa"/>
          </w:tcPr>
          <w:p w14:paraId="40DAFFF2" w14:textId="77777777" w:rsidR="000E2B0C" w:rsidRPr="00B513E4" w:rsidRDefault="000E2B0C" w:rsidP="00430375">
            <w:r w:rsidRPr="00B513E4">
              <w:t>Success Plan</w:t>
            </w:r>
          </w:p>
        </w:tc>
        <w:tc>
          <w:tcPr>
            <w:tcW w:w="5395" w:type="dxa"/>
          </w:tcPr>
          <w:p w14:paraId="2C99CFBE" w14:textId="77777777" w:rsidR="000E2B0C" w:rsidRPr="00B513E4" w:rsidRDefault="000E2B0C" w:rsidP="00430375">
            <w:pPr>
              <w:cnfStyle w:val="000000000000" w:firstRow="0" w:lastRow="0" w:firstColumn="0" w:lastColumn="0" w:oddVBand="0" w:evenVBand="0" w:oddHBand="0" w:evenHBand="0" w:firstRowFirstColumn="0" w:firstRowLastColumn="0" w:lastRowFirstColumn="0" w:lastRowLastColumn="0"/>
            </w:pPr>
            <w:r w:rsidRPr="00B513E4">
              <w:t>Alternate milestone or academic standards success plans</w:t>
            </w:r>
          </w:p>
        </w:tc>
      </w:tr>
      <w:tr w:rsidR="000E2B0C" w:rsidRPr="00B513E4" w14:paraId="24B09511"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9DD1B8B" w14:textId="77777777" w:rsidR="000E2B0C" w:rsidRPr="00B513E4" w:rsidRDefault="000E2B0C" w:rsidP="00430375">
            <w:r w:rsidRPr="00B513E4">
              <w:t>DegreeWorks Plan for 2+ Semesters</w:t>
            </w:r>
          </w:p>
        </w:tc>
        <w:tc>
          <w:tcPr>
            <w:tcW w:w="5395" w:type="dxa"/>
          </w:tcPr>
          <w:p w14:paraId="52766FEC" w14:textId="77777777" w:rsidR="000E2B0C" w:rsidRPr="00B513E4" w:rsidRDefault="000E2B0C" w:rsidP="00430375">
            <w:pPr>
              <w:cnfStyle w:val="000000100000" w:firstRow="0" w:lastRow="0" w:firstColumn="0" w:lastColumn="0" w:oddVBand="0" w:evenVBand="0" w:oddHBand="1" w:evenHBand="0" w:firstRowFirstColumn="0" w:firstRowLastColumn="0" w:lastRowFirstColumn="0" w:lastRowLastColumn="0"/>
            </w:pPr>
            <w:r w:rsidRPr="00B513E4">
              <w:t>DegreeWorks Plan-2+ Semester Kudo</w:t>
            </w:r>
          </w:p>
        </w:tc>
      </w:tr>
      <w:tr w:rsidR="000E2B0C" w:rsidRPr="00B513E4" w14:paraId="62C7A4DB" w14:textId="77777777" w:rsidTr="00430375">
        <w:tc>
          <w:tcPr>
            <w:cnfStyle w:val="001000000000" w:firstRow="0" w:lastRow="0" w:firstColumn="1" w:lastColumn="0" w:oddVBand="0" w:evenVBand="0" w:oddHBand="0" w:evenHBand="0" w:firstRowFirstColumn="0" w:firstRowLastColumn="0" w:lastRowFirstColumn="0" w:lastRowLastColumn="0"/>
            <w:tcW w:w="5395" w:type="dxa"/>
          </w:tcPr>
          <w:p w14:paraId="255368F8" w14:textId="77777777" w:rsidR="000E2B0C" w:rsidRPr="00B513E4" w:rsidRDefault="000E2B0C" w:rsidP="00430375">
            <w:r w:rsidRPr="00B513E4">
              <w:t>DegreeWorks Plan to Completion</w:t>
            </w:r>
          </w:p>
        </w:tc>
        <w:tc>
          <w:tcPr>
            <w:tcW w:w="5395" w:type="dxa"/>
          </w:tcPr>
          <w:p w14:paraId="0BEEC9FD" w14:textId="77777777" w:rsidR="000E2B0C" w:rsidRPr="00B513E4" w:rsidRDefault="000E2B0C" w:rsidP="00430375">
            <w:pPr>
              <w:cnfStyle w:val="000000000000" w:firstRow="0" w:lastRow="0" w:firstColumn="0" w:lastColumn="0" w:oddVBand="0" w:evenVBand="0" w:oddHBand="0" w:evenHBand="0" w:firstRowFirstColumn="0" w:firstRowLastColumn="0" w:lastRowFirstColumn="0" w:lastRowLastColumn="0"/>
            </w:pPr>
            <w:r w:rsidRPr="00B513E4">
              <w:t>DegreeWorks Plan-Completion Kudo</w:t>
            </w:r>
          </w:p>
        </w:tc>
      </w:tr>
      <w:tr w:rsidR="000E2B0C" w:rsidRPr="00B513E4" w14:paraId="2360163A"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C5D5F" w14:textId="77777777" w:rsidR="000E2B0C" w:rsidRPr="00B513E4" w:rsidRDefault="000E2B0C" w:rsidP="00430375">
            <w:r w:rsidRPr="00B513E4">
              <w:t>Graduation Application</w:t>
            </w:r>
          </w:p>
        </w:tc>
        <w:tc>
          <w:tcPr>
            <w:tcW w:w="5395" w:type="dxa"/>
          </w:tcPr>
          <w:p w14:paraId="1566CA00" w14:textId="77777777" w:rsidR="000E2B0C" w:rsidRPr="00B513E4" w:rsidRDefault="000E2B0C" w:rsidP="00430375">
            <w:pPr>
              <w:cnfStyle w:val="000000100000" w:firstRow="0" w:lastRow="0" w:firstColumn="0" w:lastColumn="0" w:oddVBand="0" w:evenVBand="0" w:oddHBand="1" w:evenHBand="0" w:firstRowFirstColumn="0" w:firstRowLastColumn="0" w:lastRowFirstColumn="0" w:lastRowLastColumn="0"/>
            </w:pPr>
            <w:r w:rsidRPr="00B513E4">
              <w:t>Graduation Application Flag/Kudo</w:t>
            </w:r>
          </w:p>
        </w:tc>
      </w:tr>
      <w:tr w:rsidR="000E2B0C" w:rsidRPr="00B513E4" w14:paraId="245E1903" w14:textId="77777777" w:rsidTr="00430375">
        <w:tc>
          <w:tcPr>
            <w:cnfStyle w:val="001000000000" w:firstRow="0" w:lastRow="0" w:firstColumn="1" w:lastColumn="0" w:oddVBand="0" w:evenVBand="0" w:oddHBand="0" w:evenHBand="0" w:firstRowFirstColumn="0" w:firstRowLastColumn="0" w:lastRowFirstColumn="0" w:lastRowLastColumn="0"/>
            <w:tcW w:w="5395" w:type="dxa"/>
          </w:tcPr>
          <w:p w14:paraId="384179B3" w14:textId="77777777" w:rsidR="000E2B0C" w:rsidRPr="00B513E4" w:rsidRDefault="000E2B0C" w:rsidP="00430375">
            <w:r w:rsidRPr="00B513E4">
              <w:lastRenderedPageBreak/>
              <w:t>Stop-out Counseling (for deferrals, transfer, or graduates)</w:t>
            </w:r>
          </w:p>
        </w:tc>
        <w:tc>
          <w:tcPr>
            <w:tcW w:w="5395" w:type="dxa"/>
          </w:tcPr>
          <w:p w14:paraId="42E69E92" w14:textId="77777777" w:rsidR="000E2B0C" w:rsidRPr="00B513E4" w:rsidRDefault="000E2B0C" w:rsidP="00430375">
            <w:pPr>
              <w:cnfStyle w:val="000000000000" w:firstRow="0" w:lastRow="0" w:firstColumn="0" w:lastColumn="0" w:oddVBand="0" w:evenVBand="0" w:oddHBand="0" w:evenHBand="0" w:firstRowFirstColumn="0" w:firstRowLastColumn="0" w:lastRowFirstColumn="0" w:lastRowLastColumn="0"/>
            </w:pPr>
            <w:r w:rsidRPr="00B513E4">
              <w:t>Stop-out Notes</w:t>
            </w:r>
          </w:p>
        </w:tc>
      </w:tr>
    </w:tbl>
    <w:p w14:paraId="48F256FD" w14:textId="77777777" w:rsidR="000E2B0C" w:rsidRDefault="000E2B0C" w:rsidP="000E2B0C"/>
    <w:p w14:paraId="14000C04" w14:textId="77777777" w:rsidR="000E2B0C" w:rsidRDefault="000E2B0C" w:rsidP="000E2B0C">
      <w:r>
        <w:t>These original touchpoints proved to be too time-consuming for advisors, so they have reduced to the following touchpoints.</w:t>
      </w:r>
    </w:p>
    <w:tbl>
      <w:tblPr>
        <w:tblStyle w:val="GridTable2-Accent1"/>
        <w:tblW w:w="0" w:type="auto"/>
        <w:tblLook w:val="04A0" w:firstRow="1" w:lastRow="0" w:firstColumn="1" w:lastColumn="0" w:noHBand="0" w:noVBand="1"/>
      </w:tblPr>
      <w:tblGrid>
        <w:gridCol w:w="4693"/>
        <w:gridCol w:w="4667"/>
      </w:tblGrid>
      <w:tr w:rsidR="000E2B0C" w:rsidRPr="00B513E4" w14:paraId="70A23020" w14:textId="77777777" w:rsidTr="00430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3" w:type="dxa"/>
          </w:tcPr>
          <w:p w14:paraId="60D9C2B4" w14:textId="77777777" w:rsidR="000E2B0C" w:rsidRPr="00B513E4" w:rsidRDefault="000E2B0C" w:rsidP="00430375">
            <w:r w:rsidRPr="00B513E4">
              <w:t>Recommended Touchpoint</w:t>
            </w:r>
          </w:p>
        </w:tc>
        <w:tc>
          <w:tcPr>
            <w:tcW w:w="4667" w:type="dxa"/>
          </w:tcPr>
          <w:p w14:paraId="1D0F57A6" w14:textId="77777777" w:rsidR="000E2B0C" w:rsidRPr="00B513E4" w:rsidRDefault="000E2B0C" w:rsidP="00430375">
            <w:pPr>
              <w:cnfStyle w:val="100000000000" w:firstRow="1" w:lastRow="0" w:firstColumn="0" w:lastColumn="0" w:oddVBand="0" w:evenVBand="0" w:oddHBand="0" w:evenHBand="0" w:firstRowFirstColumn="0" w:firstRowLastColumn="0" w:lastRowFirstColumn="0" w:lastRowLastColumn="0"/>
            </w:pPr>
            <w:proofErr w:type="spellStart"/>
            <w:r w:rsidRPr="00B513E4">
              <w:t>MySuccess</w:t>
            </w:r>
            <w:proofErr w:type="spellEnd"/>
            <w:r w:rsidRPr="00B513E4">
              <w:t xml:space="preserve"> Tracking Item</w:t>
            </w:r>
          </w:p>
        </w:tc>
      </w:tr>
      <w:tr w:rsidR="000E2B0C" w:rsidRPr="00B513E4" w14:paraId="681A0927"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3" w:type="dxa"/>
          </w:tcPr>
          <w:p w14:paraId="191D3E01" w14:textId="77777777" w:rsidR="000E2B0C" w:rsidRPr="00B513E4" w:rsidRDefault="000E2B0C" w:rsidP="00430375">
            <w:r w:rsidRPr="00B513E4">
              <w:t>1st Mandatory Appointment</w:t>
            </w:r>
          </w:p>
        </w:tc>
        <w:tc>
          <w:tcPr>
            <w:tcW w:w="4667" w:type="dxa"/>
          </w:tcPr>
          <w:p w14:paraId="11E061F1" w14:textId="77777777" w:rsidR="000E2B0C" w:rsidRPr="00877CC2" w:rsidRDefault="000E2B0C" w:rsidP="00430375">
            <w:pPr>
              <w:cnfStyle w:val="000000100000" w:firstRow="0" w:lastRow="0" w:firstColumn="0" w:lastColumn="0" w:oddVBand="0" w:evenVBand="0" w:oddHBand="1" w:evenHBand="0" w:firstRowFirstColumn="0" w:firstRowLastColumn="0" w:lastRowFirstColumn="0" w:lastRowLastColumn="0"/>
            </w:pPr>
            <w:r w:rsidRPr="00877CC2">
              <w:t>1st Mandatory Appointment Reason Type</w:t>
            </w:r>
          </w:p>
        </w:tc>
      </w:tr>
      <w:tr w:rsidR="000E2B0C" w:rsidRPr="00B513E4" w14:paraId="47099C8F" w14:textId="77777777" w:rsidTr="00430375">
        <w:tc>
          <w:tcPr>
            <w:cnfStyle w:val="001000000000" w:firstRow="0" w:lastRow="0" w:firstColumn="1" w:lastColumn="0" w:oddVBand="0" w:evenVBand="0" w:oddHBand="0" w:evenHBand="0" w:firstRowFirstColumn="0" w:firstRowLastColumn="0" w:lastRowFirstColumn="0" w:lastRowLastColumn="0"/>
            <w:tcW w:w="4693" w:type="dxa"/>
          </w:tcPr>
          <w:p w14:paraId="49DE1C9F" w14:textId="77777777" w:rsidR="000E2B0C" w:rsidRPr="00B513E4" w:rsidRDefault="000E2B0C" w:rsidP="00430375">
            <w:r w:rsidRPr="00B513E4">
              <w:t>2nd Mandatory Appointment</w:t>
            </w:r>
          </w:p>
        </w:tc>
        <w:tc>
          <w:tcPr>
            <w:tcW w:w="4667" w:type="dxa"/>
          </w:tcPr>
          <w:p w14:paraId="68FCD87A" w14:textId="77777777" w:rsidR="000E2B0C" w:rsidRPr="00877CC2" w:rsidRDefault="000E2B0C" w:rsidP="00430375">
            <w:pPr>
              <w:cnfStyle w:val="000000000000" w:firstRow="0" w:lastRow="0" w:firstColumn="0" w:lastColumn="0" w:oddVBand="0" w:evenVBand="0" w:oddHBand="0" w:evenHBand="0" w:firstRowFirstColumn="0" w:firstRowLastColumn="0" w:lastRowFirstColumn="0" w:lastRowLastColumn="0"/>
            </w:pPr>
            <w:r w:rsidRPr="00877CC2">
              <w:t>2nd Mandatory Appointment Reason Type</w:t>
            </w:r>
          </w:p>
        </w:tc>
      </w:tr>
      <w:tr w:rsidR="000E2B0C" w:rsidRPr="00B513E4" w14:paraId="1F224CE4"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3" w:type="dxa"/>
          </w:tcPr>
          <w:p w14:paraId="56C7E46D" w14:textId="77777777" w:rsidR="000E2B0C" w:rsidRPr="00B513E4" w:rsidRDefault="000E2B0C" w:rsidP="00430375">
            <w:r w:rsidRPr="00B513E4">
              <w:t>DegreeWorks Plan</w:t>
            </w:r>
          </w:p>
        </w:tc>
        <w:tc>
          <w:tcPr>
            <w:tcW w:w="4667" w:type="dxa"/>
          </w:tcPr>
          <w:p w14:paraId="4D931891" w14:textId="77777777" w:rsidR="000E2B0C" w:rsidRPr="00877CC2" w:rsidRDefault="000E2B0C" w:rsidP="00430375">
            <w:pPr>
              <w:cnfStyle w:val="000000100000" w:firstRow="0" w:lastRow="0" w:firstColumn="0" w:lastColumn="0" w:oddVBand="0" w:evenVBand="0" w:oddHBand="1" w:evenHBand="0" w:firstRowFirstColumn="0" w:firstRowLastColumn="0" w:lastRowFirstColumn="0" w:lastRowLastColumn="0"/>
            </w:pPr>
            <w:r w:rsidRPr="00877CC2">
              <w:t>DegreeWorks Indicator for Active Plan</w:t>
            </w:r>
          </w:p>
        </w:tc>
      </w:tr>
      <w:tr w:rsidR="000E2B0C" w:rsidRPr="00B513E4" w14:paraId="0EE96B33" w14:textId="77777777" w:rsidTr="00430375">
        <w:tc>
          <w:tcPr>
            <w:cnfStyle w:val="001000000000" w:firstRow="0" w:lastRow="0" w:firstColumn="1" w:lastColumn="0" w:oddVBand="0" w:evenVBand="0" w:oddHBand="0" w:evenHBand="0" w:firstRowFirstColumn="0" w:firstRowLastColumn="0" w:lastRowFirstColumn="0" w:lastRowLastColumn="0"/>
            <w:tcW w:w="4693" w:type="dxa"/>
          </w:tcPr>
          <w:p w14:paraId="01EC94FC" w14:textId="77777777" w:rsidR="000E2B0C" w:rsidRPr="00B513E4" w:rsidRDefault="000E2B0C" w:rsidP="00430375">
            <w:r w:rsidRPr="00B513E4">
              <w:t>Graduation Application</w:t>
            </w:r>
          </w:p>
        </w:tc>
        <w:tc>
          <w:tcPr>
            <w:tcW w:w="4667" w:type="dxa"/>
          </w:tcPr>
          <w:p w14:paraId="6C1C25F7" w14:textId="77777777" w:rsidR="000E2B0C" w:rsidRPr="00877CC2" w:rsidRDefault="000E2B0C" w:rsidP="00430375">
            <w:pPr>
              <w:cnfStyle w:val="000000000000" w:firstRow="0" w:lastRow="0" w:firstColumn="0" w:lastColumn="0" w:oddVBand="0" w:evenVBand="0" w:oddHBand="0" w:evenHBand="0" w:firstRowFirstColumn="0" w:firstRowLastColumn="0" w:lastRowFirstColumn="0" w:lastRowLastColumn="0"/>
            </w:pPr>
            <w:r w:rsidRPr="00877CC2">
              <w:t>Graduation Application Code in Banner</w:t>
            </w:r>
          </w:p>
        </w:tc>
      </w:tr>
      <w:tr w:rsidR="000E2B0C" w:rsidRPr="00B513E4" w14:paraId="2AC47E58" w14:textId="77777777" w:rsidTr="0043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3" w:type="dxa"/>
          </w:tcPr>
          <w:p w14:paraId="2BC22E50" w14:textId="77777777" w:rsidR="000E2B0C" w:rsidRPr="00B513E4" w:rsidRDefault="000E2B0C" w:rsidP="00430375">
            <w:r w:rsidRPr="00B513E4">
              <w:t>Stop-out Counseling (for deferrals, transfer, or graduates)</w:t>
            </w:r>
          </w:p>
        </w:tc>
        <w:tc>
          <w:tcPr>
            <w:tcW w:w="4667" w:type="dxa"/>
          </w:tcPr>
          <w:p w14:paraId="53778209" w14:textId="77777777" w:rsidR="000E2B0C" w:rsidRPr="00877CC2" w:rsidRDefault="000E2B0C" w:rsidP="00430375">
            <w:pPr>
              <w:cnfStyle w:val="000000100000" w:firstRow="0" w:lastRow="0" w:firstColumn="0" w:lastColumn="0" w:oddVBand="0" w:evenVBand="0" w:oddHBand="1" w:evenHBand="0" w:firstRowFirstColumn="0" w:firstRowLastColumn="0" w:lastRowFirstColumn="0" w:lastRowLastColumn="0"/>
            </w:pPr>
            <w:r w:rsidRPr="00877CC2">
              <w:t>Stop-out Notes (Deferral Application?)</w:t>
            </w:r>
          </w:p>
        </w:tc>
      </w:tr>
    </w:tbl>
    <w:p w14:paraId="4F2FBF19" w14:textId="1A569764" w:rsidR="000E2B0C" w:rsidRDefault="000E2B0C" w:rsidP="000E2B0C"/>
    <w:p w14:paraId="06FA9AFE" w14:textId="69BA15CF" w:rsidR="0092030C" w:rsidRDefault="00941E14" w:rsidP="000E2B0C">
      <w:r>
        <w:t xml:space="preserve">Advisors were given individual spreadsheets to track these touchpoints while </w:t>
      </w:r>
      <w:r w:rsidR="00645274">
        <w:t xml:space="preserve">an automated dashboard was created. Unfortunately, the ability to </w:t>
      </w:r>
      <w:r w:rsidR="003F0787">
        <w:t>break up advising caseloads using technology was not completed until May 2020</w:t>
      </w:r>
      <w:r w:rsidR="00EC68F0">
        <w:t xml:space="preserve"> and the advisor dashboards delayed into the 2020-2021 academic year. </w:t>
      </w:r>
    </w:p>
    <w:p w14:paraId="7A48AEBA" w14:textId="77777777" w:rsidR="006C0A0F" w:rsidRPr="00B513E4" w:rsidRDefault="006C0A0F" w:rsidP="006C0A0F">
      <w:pPr>
        <w:pStyle w:val="Heading1"/>
      </w:pPr>
      <w:r>
        <w:t>Student Surveys</w:t>
      </w:r>
    </w:p>
    <w:p w14:paraId="516420DC" w14:textId="4C349707" w:rsidR="006C0A0F" w:rsidRDefault="006C0A0F" w:rsidP="006C0A0F">
      <w:r w:rsidRPr="00B513E4">
        <w:t>Academic Advising</w:t>
      </w:r>
      <w:r w:rsidR="001136DD">
        <w:t xml:space="preserve"> planned to use</w:t>
      </w:r>
      <w:r w:rsidRPr="00B513E4">
        <w:t xml:space="preserve"> two student surveys to capture qualitative data on the students’ competency of the identified learning outcomes and their experiences with their academic advisor</w:t>
      </w:r>
      <w:r w:rsidR="001136DD">
        <w:t xml:space="preserve">, an annual survey </w:t>
      </w:r>
      <w:r w:rsidR="00F330CD">
        <w:t xml:space="preserve">showing their </w:t>
      </w:r>
      <w:r w:rsidR="002E50FC">
        <w:t>competencies</w:t>
      </w:r>
      <w:r w:rsidR="00F330CD">
        <w:t xml:space="preserve"> in advising learning outcomes and a daily survey </w:t>
      </w:r>
      <w:r w:rsidR="00961D75">
        <w:t>to assess success of individual advising appointments.</w:t>
      </w:r>
    </w:p>
    <w:p w14:paraId="094D8B8A" w14:textId="07D89D34" w:rsidR="006C0A0F" w:rsidRDefault="006C0A0F" w:rsidP="006C0A0F">
      <w:pPr>
        <w:pStyle w:val="Heading2"/>
      </w:pPr>
      <w:r>
        <w:t>Annual</w:t>
      </w:r>
      <w:r w:rsidR="00744177">
        <w:t xml:space="preserve"> Milestone</w:t>
      </w:r>
      <w:r>
        <w:t xml:space="preserve"> Survey</w:t>
      </w:r>
    </w:p>
    <w:p w14:paraId="7EEEEB05" w14:textId="77777777" w:rsidR="006C0A0F" w:rsidRPr="00B513E4" w:rsidRDefault="006C0A0F" w:rsidP="006C0A0F">
      <w:r>
        <w:t xml:space="preserve">The annual survey that was planned for May was postponed as offices moved off-site due to COVID-19. It has been rescheduled to go out in July 2020. </w:t>
      </w:r>
    </w:p>
    <w:p w14:paraId="2EBB205E" w14:textId="1B766F09" w:rsidR="006C0A0F" w:rsidRPr="00B513E4" w:rsidRDefault="006C0A0F" w:rsidP="006C0A0F">
      <w:pPr>
        <w:pStyle w:val="Heading2"/>
      </w:pPr>
      <w:r w:rsidRPr="00B513E4">
        <w:t>Daily</w:t>
      </w:r>
      <w:r w:rsidR="00744177">
        <w:t xml:space="preserve"> Satisfaction</w:t>
      </w:r>
      <w:r w:rsidRPr="00B513E4">
        <w:t xml:space="preserve"> Survey</w:t>
      </w:r>
    </w:p>
    <w:p w14:paraId="5BD5923C" w14:textId="77777777" w:rsidR="006C0A0F" w:rsidRPr="00B513E4" w:rsidRDefault="006C0A0F" w:rsidP="006C0A0F">
      <w:r>
        <w:t>Academic Advising started sending surveys out to all students with appointments each day starting on March 20, 2020. The</w:t>
      </w:r>
      <w:r w:rsidRPr="003E2313">
        <w:t xml:space="preserve"> response rate is 9.9% and</w:t>
      </w:r>
      <w:r>
        <w:t xml:space="preserve"> with</w:t>
      </w:r>
      <w:r w:rsidRPr="003E2313">
        <w:t xml:space="preserve"> a total of 218 total respondents</w:t>
      </w:r>
      <w:r>
        <w:t>. Ethnicity and gender demographics of respondents are below.</w:t>
      </w:r>
    </w:p>
    <w:p w14:paraId="2B57EAB4" w14:textId="77777777" w:rsidR="006C0A0F" w:rsidRPr="00511257" w:rsidRDefault="006C0A0F" w:rsidP="006C0A0F">
      <w:pPr>
        <w:rPr>
          <w:rStyle w:val="Strong"/>
        </w:rPr>
      </w:pPr>
      <w:r w:rsidRPr="00511257">
        <w:rPr>
          <w:rStyle w:val="Strong"/>
        </w:rPr>
        <w:t>Race/Ethnicity</w:t>
      </w:r>
      <w:r>
        <w:rPr>
          <w:rStyle w:val="Strong"/>
        </w:rPr>
        <w:t xml:space="preserve"> Distribution</w:t>
      </w:r>
      <w:r>
        <w:rPr>
          <w:noProof/>
        </w:rPr>
        <w:drawing>
          <wp:inline distT="0" distB="0" distL="0" distR="0" wp14:anchorId="03DA58C1" wp14:editId="6A8B9BEF">
            <wp:extent cx="5876925" cy="2066925"/>
            <wp:effectExtent l="0" t="0" r="9525" b="9525"/>
            <wp:docPr id="10" name="Chart 10">
              <a:extLst xmlns:a="http://schemas.openxmlformats.org/drawingml/2006/main">
                <a:ext uri="{FF2B5EF4-FFF2-40B4-BE49-F238E27FC236}">
                  <a16:creationId xmlns:a16="http://schemas.microsoft.com/office/drawing/2014/main" id="{2A08C1BD-7532-4CE0-A5BC-3E7BC432ED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D3CC3C" w14:textId="77777777" w:rsidR="006C0A0F" w:rsidRPr="00511257" w:rsidRDefault="006C0A0F" w:rsidP="006C0A0F">
      <w:pPr>
        <w:rPr>
          <w:rStyle w:val="Strong"/>
        </w:rPr>
      </w:pPr>
      <w:r w:rsidRPr="00511257">
        <w:rPr>
          <w:rStyle w:val="Strong"/>
        </w:rPr>
        <w:t>Gender</w:t>
      </w:r>
      <w:r>
        <w:rPr>
          <w:rStyle w:val="Strong"/>
        </w:rPr>
        <w:t xml:space="preserve"> Distribution</w:t>
      </w:r>
    </w:p>
    <w:p w14:paraId="664F199F" w14:textId="77777777" w:rsidR="006C0A0F" w:rsidRPr="00511257" w:rsidRDefault="006C0A0F" w:rsidP="006C0A0F">
      <w:pPr>
        <w:rPr>
          <w:rStyle w:val="Strong"/>
        </w:rPr>
      </w:pPr>
      <w:r>
        <w:rPr>
          <w:noProof/>
        </w:rPr>
        <w:lastRenderedPageBreak/>
        <w:drawing>
          <wp:inline distT="0" distB="0" distL="0" distR="0" wp14:anchorId="08EA0608" wp14:editId="14F60B18">
            <wp:extent cx="5934075" cy="2381250"/>
            <wp:effectExtent l="0" t="0" r="9525" b="0"/>
            <wp:docPr id="11" name="Chart 11">
              <a:extLst xmlns:a="http://schemas.openxmlformats.org/drawingml/2006/main">
                <a:ext uri="{FF2B5EF4-FFF2-40B4-BE49-F238E27FC236}">
                  <a16:creationId xmlns:a16="http://schemas.microsoft.com/office/drawing/2014/main" id="{4CB05419-DA18-42E3-B1BE-A8260C9AD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6E453" w14:textId="77777777" w:rsidR="006C0A0F" w:rsidRDefault="006C0A0F" w:rsidP="006C0A0F">
      <w:pPr>
        <w:rPr>
          <w:rStyle w:val="Strong"/>
        </w:rPr>
      </w:pPr>
    </w:p>
    <w:p w14:paraId="4EC1E56C" w14:textId="77777777" w:rsidR="006C0A0F" w:rsidRDefault="006C0A0F" w:rsidP="006C0A0F">
      <w:pPr>
        <w:rPr>
          <w:rStyle w:val="Strong"/>
          <w:b w:val="0"/>
          <w:bCs w:val="0"/>
        </w:rPr>
      </w:pPr>
      <w:r>
        <w:rPr>
          <w:rStyle w:val="Strong"/>
        </w:rPr>
        <w:t>The daily survey has the following questions that required a response on the 5-point Likert scale for the following questions.</w:t>
      </w:r>
    </w:p>
    <w:p w14:paraId="7F8B2C95" w14:textId="77777777" w:rsidR="006C0A0F" w:rsidRPr="008326CE" w:rsidRDefault="006C0A0F" w:rsidP="006C0A0F">
      <w:pPr>
        <w:pStyle w:val="ListParagraph"/>
        <w:numPr>
          <w:ilvl w:val="0"/>
          <w:numId w:val="2"/>
        </w:numPr>
        <w:rPr>
          <w:rStyle w:val="Strong"/>
          <w:b w:val="0"/>
          <w:bCs w:val="0"/>
        </w:rPr>
      </w:pPr>
      <w:r w:rsidRPr="008326CE">
        <w:rPr>
          <w:rStyle w:val="Strong"/>
        </w:rPr>
        <w:t>The Academic Advisor was knowledgeable and able to explain the requirements of my program.</w:t>
      </w:r>
    </w:p>
    <w:p w14:paraId="193A53DB" w14:textId="77777777" w:rsidR="006C0A0F" w:rsidRPr="008326CE" w:rsidRDefault="006C0A0F" w:rsidP="006C0A0F">
      <w:pPr>
        <w:pStyle w:val="ListParagraph"/>
        <w:numPr>
          <w:ilvl w:val="0"/>
          <w:numId w:val="2"/>
        </w:numPr>
        <w:rPr>
          <w:rStyle w:val="Strong"/>
          <w:b w:val="0"/>
          <w:bCs w:val="0"/>
        </w:rPr>
      </w:pPr>
      <w:r w:rsidRPr="008326CE">
        <w:rPr>
          <w:rStyle w:val="Strong"/>
        </w:rPr>
        <w:t xml:space="preserve">After meeting with the Academic </w:t>
      </w:r>
      <w:proofErr w:type="gramStart"/>
      <w:r w:rsidRPr="008326CE">
        <w:rPr>
          <w:rStyle w:val="Strong"/>
        </w:rPr>
        <w:t>Advisor</w:t>
      </w:r>
      <w:proofErr w:type="gramEnd"/>
      <w:r w:rsidRPr="008326CE">
        <w:rPr>
          <w:rStyle w:val="Strong"/>
        </w:rPr>
        <w:t xml:space="preserve"> I felt more prepared to meet my goals.</w:t>
      </w:r>
    </w:p>
    <w:p w14:paraId="6DAFB89F" w14:textId="77777777" w:rsidR="006C0A0F" w:rsidRPr="008326CE" w:rsidRDefault="006C0A0F" w:rsidP="006C0A0F">
      <w:pPr>
        <w:pStyle w:val="ListParagraph"/>
        <w:numPr>
          <w:ilvl w:val="0"/>
          <w:numId w:val="2"/>
        </w:numPr>
        <w:rPr>
          <w:rStyle w:val="Strong"/>
          <w:b w:val="0"/>
          <w:bCs w:val="0"/>
        </w:rPr>
      </w:pPr>
      <w:r w:rsidRPr="008326CE">
        <w:rPr>
          <w:rStyle w:val="Strong"/>
        </w:rPr>
        <w:t>The Academic Advisor was able to explain how to find information about the resources and support services on campus.</w:t>
      </w:r>
    </w:p>
    <w:p w14:paraId="094A9138" w14:textId="77777777" w:rsidR="006C0A0F" w:rsidRPr="008326CE" w:rsidRDefault="006C0A0F" w:rsidP="006C0A0F">
      <w:pPr>
        <w:pStyle w:val="ListParagraph"/>
        <w:numPr>
          <w:ilvl w:val="0"/>
          <w:numId w:val="2"/>
        </w:numPr>
        <w:rPr>
          <w:rStyle w:val="Strong"/>
          <w:b w:val="0"/>
          <w:bCs w:val="0"/>
        </w:rPr>
      </w:pPr>
      <w:r w:rsidRPr="008326CE">
        <w:rPr>
          <w:rStyle w:val="Strong"/>
        </w:rPr>
        <w:t>I would return to see Academic Advising</w:t>
      </w:r>
    </w:p>
    <w:p w14:paraId="0CB1C2BA" w14:textId="77777777" w:rsidR="006C0A0F" w:rsidRDefault="006C0A0F" w:rsidP="006C0A0F">
      <w:pPr>
        <w:pStyle w:val="ListParagraph"/>
        <w:numPr>
          <w:ilvl w:val="0"/>
          <w:numId w:val="2"/>
        </w:numPr>
        <w:rPr>
          <w:rStyle w:val="Strong"/>
          <w:b w:val="0"/>
          <w:bCs w:val="0"/>
        </w:rPr>
      </w:pPr>
      <w:r w:rsidRPr="008326CE">
        <w:rPr>
          <w:rStyle w:val="Strong"/>
        </w:rPr>
        <w:t>I would recommend other students meet with an Academic Advisor</w:t>
      </w:r>
      <w:r>
        <w:rPr>
          <w:rStyle w:val="Strong"/>
        </w:rPr>
        <w:t>.</w:t>
      </w:r>
    </w:p>
    <w:p w14:paraId="1A880196" w14:textId="77777777" w:rsidR="006C0A0F" w:rsidRDefault="006C0A0F" w:rsidP="006C0A0F">
      <w:pPr>
        <w:rPr>
          <w:rStyle w:val="Strong"/>
        </w:rPr>
      </w:pPr>
      <w:r>
        <w:rPr>
          <w:rStyle w:val="Strong"/>
        </w:rPr>
        <w:t>The survey responses are as follows:</w:t>
      </w:r>
    </w:p>
    <w:p w14:paraId="6EB18AD1" w14:textId="77777777" w:rsidR="006C0A0F" w:rsidRPr="00511257" w:rsidRDefault="006C0A0F" w:rsidP="006C0A0F">
      <w:pPr>
        <w:rPr>
          <w:rStyle w:val="Strong"/>
        </w:rPr>
      </w:pPr>
      <w:r w:rsidRPr="00511257">
        <w:rPr>
          <w:rStyle w:val="Strong"/>
        </w:rPr>
        <w:t>The Academic Advisor was knowledgeable and able to explain the requirements of my program.</w:t>
      </w:r>
    </w:p>
    <w:p w14:paraId="2C275E07" w14:textId="0DFAC66E" w:rsidR="006C0A0F" w:rsidRDefault="006C0A0F" w:rsidP="006C0A0F">
      <w:pPr>
        <w:jc w:val="center"/>
        <w:rPr>
          <w:rStyle w:val="Strong"/>
        </w:rPr>
      </w:pPr>
      <w:r>
        <w:rPr>
          <w:noProof/>
        </w:rPr>
        <w:drawing>
          <wp:inline distT="0" distB="0" distL="0" distR="0" wp14:anchorId="3E14554F" wp14:editId="2D199D61">
            <wp:extent cx="3409950" cy="3143250"/>
            <wp:effectExtent l="0" t="0" r="0" b="0"/>
            <wp:docPr id="1" name="Chart 1">
              <a:extLst xmlns:a="http://schemas.openxmlformats.org/drawingml/2006/main">
                <a:ext uri="{FF2B5EF4-FFF2-40B4-BE49-F238E27FC236}">
                  <a16:creationId xmlns:a16="http://schemas.microsoft.com/office/drawing/2014/main" id="{D02457D9-F17A-43B0-94AA-95E176403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9B1DBC" w14:textId="21D0A2D8" w:rsidR="00457A49" w:rsidRDefault="00457A49" w:rsidP="006C0A0F">
      <w:pPr>
        <w:jc w:val="center"/>
        <w:rPr>
          <w:rStyle w:val="Strong"/>
        </w:rPr>
      </w:pPr>
    </w:p>
    <w:p w14:paraId="5C04015F" w14:textId="77777777" w:rsidR="00457A49" w:rsidRPr="00511257" w:rsidRDefault="00457A49" w:rsidP="006C0A0F">
      <w:pPr>
        <w:jc w:val="center"/>
        <w:rPr>
          <w:rStyle w:val="Strong"/>
        </w:rPr>
      </w:pPr>
    </w:p>
    <w:p w14:paraId="7D4EEDCF" w14:textId="77777777" w:rsidR="006C0A0F" w:rsidRPr="00511257" w:rsidRDefault="006C0A0F" w:rsidP="006C0A0F">
      <w:pPr>
        <w:rPr>
          <w:rStyle w:val="Strong"/>
        </w:rPr>
      </w:pPr>
    </w:p>
    <w:p w14:paraId="5806120A" w14:textId="77777777" w:rsidR="006C0A0F" w:rsidRPr="00511257" w:rsidRDefault="006C0A0F" w:rsidP="006C0A0F">
      <w:pPr>
        <w:rPr>
          <w:rStyle w:val="Strong"/>
        </w:rPr>
      </w:pPr>
      <w:r w:rsidRPr="00511257">
        <w:rPr>
          <w:rStyle w:val="Strong"/>
        </w:rPr>
        <w:lastRenderedPageBreak/>
        <w:t xml:space="preserve">After meeting with the Academic </w:t>
      </w:r>
      <w:proofErr w:type="gramStart"/>
      <w:r w:rsidRPr="00511257">
        <w:rPr>
          <w:rStyle w:val="Strong"/>
        </w:rPr>
        <w:t>Advisor</w:t>
      </w:r>
      <w:proofErr w:type="gramEnd"/>
      <w:r w:rsidRPr="00511257">
        <w:rPr>
          <w:rStyle w:val="Strong"/>
        </w:rPr>
        <w:t xml:space="preserve"> I felt more prepared to meet my goals.</w:t>
      </w:r>
    </w:p>
    <w:p w14:paraId="7BEEDC93" w14:textId="77777777" w:rsidR="006C0A0F" w:rsidRPr="00511257" w:rsidRDefault="006C0A0F" w:rsidP="006C0A0F">
      <w:pPr>
        <w:jc w:val="center"/>
        <w:rPr>
          <w:rStyle w:val="Strong"/>
        </w:rPr>
      </w:pPr>
      <w:r>
        <w:rPr>
          <w:noProof/>
        </w:rPr>
        <w:drawing>
          <wp:inline distT="0" distB="0" distL="0" distR="0" wp14:anchorId="4AB7585F" wp14:editId="76C60EF2">
            <wp:extent cx="3676650" cy="3448050"/>
            <wp:effectExtent l="0" t="0" r="0" b="0"/>
            <wp:docPr id="6" name="Chart 6">
              <a:extLst xmlns:a="http://schemas.openxmlformats.org/drawingml/2006/main">
                <a:ext uri="{FF2B5EF4-FFF2-40B4-BE49-F238E27FC236}">
                  <a16:creationId xmlns:a16="http://schemas.microsoft.com/office/drawing/2014/main" id="{3F71526F-E2EA-4190-A6E8-9E1CF5A09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90F688" w14:textId="77777777" w:rsidR="006C0A0F" w:rsidRDefault="006C0A0F" w:rsidP="006C0A0F">
      <w:pPr>
        <w:rPr>
          <w:rStyle w:val="Strong"/>
        </w:rPr>
      </w:pPr>
    </w:p>
    <w:p w14:paraId="754E6E15" w14:textId="77777777" w:rsidR="006C0A0F" w:rsidRDefault="006C0A0F" w:rsidP="006C0A0F">
      <w:pPr>
        <w:rPr>
          <w:rStyle w:val="Strong"/>
        </w:rPr>
      </w:pPr>
    </w:p>
    <w:p w14:paraId="5CE2220D" w14:textId="77777777" w:rsidR="006C0A0F" w:rsidRPr="00511257" w:rsidRDefault="006C0A0F" w:rsidP="006C0A0F">
      <w:pPr>
        <w:rPr>
          <w:rStyle w:val="Strong"/>
        </w:rPr>
      </w:pPr>
      <w:r w:rsidRPr="00511257">
        <w:rPr>
          <w:rStyle w:val="Strong"/>
        </w:rPr>
        <w:t>The Academic Advisor was able to explain how to find information about the resources and support services on campus.</w:t>
      </w:r>
    </w:p>
    <w:p w14:paraId="6A412177" w14:textId="20B58F9A" w:rsidR="006C0A0F" w:rsidRDefault="006C0A0F" w:rsidP="006C0A0F">
      <w:pPr>
        <w:jc w:val="center"/>
        <w:rPr>
          <w:rStyle w:val="Strong"/>
        </w:rPr>
      </w:pPr>
      <w:r>
        <w:rPr>
          <w:noProof/>
        </w:rPr>
        <w:drawing>
          <wp:inline distT="0" distB="0" distL="0" distR="0" wp14:anchorId="27386356" wp14:editId="394792D0">
            <wp:extent cx="3590925" cy="3248025"/>
            <wp:effectExtent l="0" t="0" r="9525" b="9525"/>
            <wp:docPr id="7" name="Chart 7">
              <a:extLst xmlns:a="http://schemas.openxmlformats.org/drawingml/2006/main">
                <a:ext uri="{FF2B5EF4-FFF2-40B4-BE49-F238E27FC236}">
                  <a16:creationId xmlns:a16="http://schemas.microsoft.com/office/drawing/2014/main" id="{0296A5D0-41A8-4B81-8D6C-ADA8439CDF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52C49C" w14:textId="324D8152" w:rsidR="00457A49" w:rsidRDefault="00457A49" w:rsidP="006C0A0F">
      <w:pPr>
        <w:jc w:val="center"/>
        <w:rPr>
          <w:rStyle w:val="Strong"/>
        </w:rPr>
      </w:pPr>
    </w:p>
    <w:p w14:paraId="6266E8F3" w14:textId="77777777" w:rsidR="00457A49" w:rsidRPr="00511257" w:rsidRDefault="00457A49" w:rsidP="006C0A0F">
      <w:pPr>
        <w:jc w:val="center"/>
        <w:rPr>
          <w:rStyle w:val="Strong"/>
        </w:rPr>
      </w:pPr>
    </w:p>
    <w:p w14:paraId="5FADBCC7" w14:textId="77777777" w:rsidR="006C0A0F" w:rsidRPr="00511257" w:rsidRDefault="006C0A0F" w:rsidP="006C0A0F">
      <w:pPr>
        <w:rPr>
          <w:rStyle w:val="Strong"/>
        </w:rPr>
      </w:pPr>
      <w:r w:rsidRPr="00511257">
        <w:rPr>
          <w:rStyle w:val="Strong"/>
        </w:rPr>
        <w:lastRenderedPageBreak/>
        <w:t>I would return to see Academic Advising</w:t>
      </w:r>
      <w:r>
        <w:rPr>
          <w:rStyle w:val="Strong"/>
        </w:rPr>
        <w:t>.</w:t>
      </w:r>
    </w:p>
    <w:p w14:paraId="27300360" w14:textId="77777777" w:rsidR="006C0A0F" w:rsidRPr="00511257" w:rsidRDefault="006C0A0F" w:rsidP="006C0A0F">
      <w:pPr>
        <w:jc w:val="center"/>
        <w:rPr>
          <w:rStyle w:val="Strong"/>
        </w:rPr>
      </w:pPr>
      <w:r>
        <w:rPr>
          <w:noProof/>
        </w:rPr>
        <w:drawing>
          <wp:inline distT="0" distB="0" distL="0" distR="0" wp14:anchorId="09D814BA" wp14:editId="419FCAE8">
            <wp:extent cx="3952875" cy="3738564"/>
            <wp:effectExtent l="0" t="0" r="9525" b="14605"/>
            <wp:docPr id="8" name="Chart 8">
              <a:extLst xmlns:a="http://schemas.openxmlformats.org/drawingml/2006/main">
                <a:ext uri="{FF2B5EF4-FFF2-40B4-BE49-F238E27FC236}">
                  <a16:creationId xmlns:a16="http://schemas.microsoft.com/office/drawing/2014/main" id="{9E6CEC60-5398-401D-842D-1F1566A4B2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FE2E9F" w14:textId="77777777" w:rsidR="006C0A0F" w:rsidRPr="00511257" w:rsidRDefault="006C0A0F" w:rsidP="006C0A0F">
      <w:pPr>
        <w:rPr>
          <w:rStyle w:val="Strong"/>
        </w:rPr>
      </w:pPr>
      <w:r w:rsidRPr="00511257">
        <w:rPr>
          <w:rStyle w:val="Strong"/>
        </w:rPr>
        <w:t>I would recommend other students meet with an Academic Advisor</w:t>
      </w:r>
    </w:p>
    <w:p w14:paraId="6D4F852B" w14:textId="77777777" w:rsidR="006C0A0F" w:rsidRPr="00511257" w:rsidRDefault="006C0A0F" w:rsidP="006C0A0F">
      <w:pPr>
        <w:jc w:val="center"/>
        <w:rPr>
          <w:rStyle w:val="Strong"/>
        </w:rPr>
      </w:pPr>
      <w:r>
        <w:rPr>
          <w:noProof/>
        </w:rPr>
        <w:drawing>
          <wp:inline distT="0" distB="0" distL="0" distR="0" wp14:anchorId="2A380DFC" wp14:editId="437D3F02">
            <wp:extent cx="4105275" cy="3424239"/>
            <wp:effectExtent l="0" t="0" r="9525" b="5080"/>
            <wp:docPr id="9" name="Chart 9">
              <a:extLst xmlns:a="http://schemas.openxmlformats.org/drawingml/2006/main">
                <a:ext uri="{FF2B5EF4-FFF2-40B4-BE49-F238E27FC236}">
                  <a16:creationId xmlns:a16="http://schemas.microsoft.com/office/drawing/2014/main" id="{A9DCF70C-3671-4D1B-8860-2AFDA0D3D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B4A2C2" w14:textId="77777777" w:rsidR="006C0A0F" w:rsidRDefault="006C0A0F" w:rsidP="006C0A0F"/>
    <w:p w14:paraId="12D4A1C1" w14:textId="77777777" w:rsidR="006C0A0F" w:rsidRDefault="006C0A0F" w:rsidP="006C0A0F">
      <w:r>
        <w:t>The Daily Survey also included the two open-ended questions.</w:t>
      </w:r>
    </w:p>
    <w:p w14:paraId="024E2236" w14:textId="77777777" w:rsidR="006C0A0F" w:rsidRPr="00B513E4" w:rsidRDefault="006C0A0F" w:rsidP="006C0A0F">
      <w:pPr>
        <w:pStyle w:val="ListParagraph"/>
        <w:numPr>
          <w:ilvl w:val="0"/>
          <w:numId w:val="1"/>
        </w:numPr>
      </w:pPr>
      <w:r>
        <w:t>D</w:t>
      </w:r>
      <w:r w:rsidRPr="00B513E4">
        <w:t>o you have additional questions or comments that were not addressed? What went well? What could be improved?</w:t>
      </w:r>
    </w:p>
    <w:p w14:paraId="0A8334D5" w14:textId="77777777" w:rsidR="006C0A0F" w:rsidRDefault="006C0A0F" w:rsidP="006C0A0F">
      <w:pPr>
        <w:pStyle w:val="ListParagraph"/>
        <w:numPr>
          <w:ilvl w:val="0"/>
          <w:numId w:val="1"/>
        </w:numPr>
      </w:pPr>
      <w:r w:rsidRPr="00B513E4">
        <w:lastRenderedPageBreak/>
        <w:t>Would you like to have someone contact you regarding your appointment? If yes, please provide your student number. A staff member from Academic Advising will follow up with you to review the additional comments or questions you have.</w:t>
      </w:r>
    </w:p>
    <w:p w14:paraId="5A072CA7" w14:textId="6A23220B" w:rsidR="004D4A26" w:rsidRPr="004D4A26" w:rsidRDefault="006C0A0F" w:rsidP="004D4A26">
      <w:r>
        <w:t>A member of the Academic Advising Leadership team follows up with any requests for comments where the student has included their student number.</w:t>
      </w:r>
    </w:p>
    <w:p w14:paraId="5A10CAA0" w14:textId="77777777" w:rsidR="00B62AE4" w:rsidRDefault="00B62AE4" w:rsidP="00B62AE4">
      <w:pPr>
        <w:pStyle w:val="Heading1"/>
      </w:pPr>
      <w:r>
        <w:t>Results/Findings</w:t>
      </w:r>
    </w:p>
    <w:p w14:paraId="6D6DE536" w14:textId="72C7B7CB" w:rsidR="00744177" w:rsidRDefault="00744177" w:rsidP="00744177">
      <w:pPr>
        <w:pStyle w:val="Heading2"/>
      </w:pPr>
      <w:r>
        <w:t>Pre-Enrollment Dashboard</w:t>
      </w:r>
    </w:p>
    <w:p w14:paraId="43CC65A0" w14:textId="038E662B" w:rsidR="00894EFC" w:rsidRDefault="00A728DF" w:rsidP="00744177">
      <w:r>
        <w:t xml:space="preserve">By accessing the </w:t>
      </w:r>
      <w:hyperlink r:id="rId20" w:history="1">
        <w:r w:rsidRPr="00B84EDC">
          <w:rPr>
            <w:rStyle w:val="Hyperlink"/>
          </w:rPr>
          <w:t>pre-enrollment dashboard</w:t>
        </w:r>
      </w:hyperlink>
      <w:r>
        <w:t xml:space="preserve"> we can see </w:t>
      </w:r>
      <w:r w:rsidR="005C21C1">
        <w:t xml:space="preserve">a breakdown by </w:t>
      </w:r>
      <w:r w:rsidR="00B84EDC">
        <w:t xml:space="preserve">case management cohort. </w:t>
      </w:r>
      <w:r w:rsidR="00C42010">
        <w:t>For example, t</w:t>
      </w:r>
      <w:r w:rsidR="00B84EDC">
        <w:t xml:space="preserve">he </w:t>
      </w:r>
      <w:r w:rsidR="00C42010">
        <w:t>first</w:t>
      </w:r>
      <w:r w:rsidR="00B84EDC">
        <w:t xml:space="preserve"> cohort </w:t>
      </w:r>
      <w:r w:rsidR="006570BD">
        <w:t>available are the students in the Business Pathway pilot that included</w:t>
      </w:r>
      <w:r w:rsidR="00B84EDC">
        <w:t xml:space="preserve"> new freshman</w:t>
      </w:r>
      <w:r w:rsidR="00DE4FBF">
        <w:t xml:space="preserve"> that started in the Business area of study</w:t>
      </w:r>
      <w:r w:rsidR="006570BD">
        <w:t xml:space="preserve"> in Fall 2018</w:t>
      </w:r>
      <w:r w:rsidR="00DE4FBF">
        <w:t>.</w:t>
      </w:r>
      <w:r w:rsidR="00894EFC">
        <w:t xml:space="preserve"> </w:t>
      </w:r>
      <w:r w:rsidR="00C97B33">
        <w:t>Of 230 students</w:t>
      </w:r>
      <w:r w:rsidR="00B846ED">
        <w:t>, 91% attended orientation, and a</w:t>
      </w:r>
      <w:r w:rsidR="00894EFC">
        <w:t xml:space="preserve">ll except one student that attended orientation met with their academic advisor. </w:t>
      </w:r>
      <w:r w:rsidR="00461B0A">
        <w:t>Fall-to-Spring retention</w:t>
      </w:r>
      <w:r w:rsidR="004B6815">
        <w:t xml:space="preserve"> was around 6</w:t>
      </w:r>
      <w:r w:rsidR="007C45B1">
        <w:t>6</w:t>
      </w:r>
      <w:r w:rsidR="004B6815">
        <w:t xml:space="preserve">% and Fall-to-Fall retention around </w:t>
      </w:r>
      <w:r w:rsidR="007C45B1">
        <w:t xml:space="preserve">53%. </w:t>
      </w:r>
      <w:r w:rsidR="00A80C44">
        <w:t>Only 8% have graduated after 2 years</w:t>
      </w:r>
      <w:r w:rsidR="00F07BD0">
        <w:t>.</w:t>
      </w:r>
      <w:r w:rsidR="00B35B37">
        <w:t xml:space="preserve"> Institutionally, Fall-to-</w:t>
      </w:r>
      <w:r w:rsidR="0039415C">
        <w:t>Spring</w:t>
      </w:r>
      <w:r w:rsidR="00B35B37">
        <w:t xml:space="preserve"> retention was </w:t>
      </w:r>
      <w:r w:rsidR="0039415C">
        <w:t>68% and Fall-to-Fall Retention was 48%</w:t>
      </w:r>
      <w:r w:rsidR="005B52D6">
        <w:t xml:space="preserve">. Empirically, retention </w:t>
      </w:r>
      <w:r w:rsidR="00F942A9">
        <w:t>only slightly improved Fall-to-Fall retention compared to other students in the School of Business.</w:t>
      </w:r>
      <w:r w:rsidR="0039415C">
        <w:t xml:space="preserve"> </w:t>
      </w:r>
      <w:r w:rsidR="00152819">
        <w:t xml:space="preserve">The College </w:t>
      </w:r>
      <w:r w:rsidR="00117804">
        <w:t>fact book only shows 6-year completion to further comparison is needed.</w:t>
      </w:r>
    </w:p>
    <w:p w14:paraId="253FA4BF" w14:textId="58DD66BD" w:rsidR="00744177" w:rsidRDefault="00744177" w:rsidP="00744177">
      <w:pPr>
        <w:pStyle w:val="Heading2"/>
      </w:pPr>
      <w:r>
        <w:t xml:space="preserve">Touchpoint Tracking Using </w:t>
      </w:r>
      <w:proofErr w:type="spellStart"/>
      <w:r>
        <w:t>MySuccess</w:t>
      </w:r>
      <w:proofErr w:type="spellEnd"/>
    </w:p>
    <w:p w14:paraId="40BB4AD5" w14:textId="5F928363" w:rsidR="008504F2" w:rsidRDefault="00E12DB4" w:rsidP="008504F2">
      <w:r>
        <w:t>The original plan for</w:t>
      </w:r>
      <w:r w:rsidR="00C116CA">
        <w:t xml:space="preserve"> Fall 2019</w:t>
      </w:r>
      <w:r>
        <w:t xml:space="preserve"> tracking key touchpoints for students and advisors included flags and kudos in </w:t>
      </w:r>
      <w:proofErr w:type="spellStart"/>
      <w:r>
        <w:t>MySuccess</w:t>
      </w:r>
      <w:proofErr w:type="spellEnd"/>
      <w:r>
        <w:t xml:space="preserve"> </w:t>
      </w:r>
      <w:r w:rsidR="00C116CA">
        <w:t xml:space="preserve">for contacts, responses, meetings, and data that was not readily available in </w:t>
      </w:r>
      <w:proofErr w:type="spellStart"/>
      <w:r w:rsidR="00C116CA">
        <w:t>MySuccess</w:t>
      </w:r>
      <w:proofErr w:type="spellEnd"/>
      <w:r w:rsidR="00C116CA">
        <w:t>. The number of notifications that were going out to students and the amount of work this created for the advisors proved to be overwhelming.</w:t>
      </w:r>
      <w:r w:rsidR="00141EBA">
        <w:t xml:space="preserve"> The leadership team then modified the touchpoints to </w:t>
      </w:r>
      <w:r w:rsidR="000E36A6">
        <w:t>things that were tracked already through advisors’ daily processes, such as meeting</w:t>
      </w:r>
      <w:r w:rsidR="00D04673">
        <w:t xml:space="preserve"> notes, and items that could possibly be pulled into an automated report from </w:t>
      </w:r>
      <w:proofErr w:type="spellStart"/>
      <w:r w:rsidR="00D04673">
        <w:t>MySuccess</w:t>
      </w:r>
      <w:proofErr w:type="spellEnd"/>
      <w:r w:rsidR="00D04673">
        <w:t xml:space="preserve"> and other systems.</w:t>
      </w:r>
    </w:p>
    <w:p w14:paraId="758DB9DA" w14:textId="42A3EAD5" w:rsidR="00A1705E" w:rsidRDefault="00C116CA" w:rsidP="00E60DDC">
      <w:r>
        <w:t xml:space="preserve">The </w:t>
      </w:r>
      <w:r w:rsidR="00141EBA">
        <w:t>modified plan beginning Spring 2020</w:t>
      </w:r>
      <w:r w:rsidR="00D35570">
        <w:t xml:space="preserve"> </w:t>
      </w:r>
      <w:r w:rsidR="00B34150">
        <w:t>shows meeting data on the pre-enrollment dashboard</w:t>
      </w:r>
      <w:r w:rsidR="003719DE">
        <w:t xml:space="preserve">, but the key piece of having individual advisor dashboards was </w:t>
      </w:r>
      <w:r w:rsidR="0086320B">
        <w:t>dependent on advisor-to-student assignments in Banner. The advisor-to-student assignments were not completed until May 2020</w:t>
      </w:r>
      <w:r w:rsidR="00876ACF">
        <w:t xml:space="preserve">, advisors are now able to </w:t>
      </w:r>
      <w:r w:rsidR="00A4204E">
        <w:t>do outreach to</w:t>
      </w:r>
      <w:r w:rsidR="00876ACF">
        <w:t xml:space="preserve"> their caseloads in </w:t>
      </w:r>
      <w:proofErr w:type="spellStart"/>
      <w:r w:rsidR="00876ACF">
        <w:t>MySuccess</w:t>
      </w:r>
      <w:proofErr w:type="spellEnd"/>
      <w:r w:rsidR="00876ACF">
        <w:t xml:space="preserve"> and view </w:t>
      </w:r>
      <w:r w:rsidR="00A4204E">
        <w:t>if students have</w:t>
      </w:r>
      <w:r w:rsidR="00876ACF">
        <w:t xml:space="preserve"> </w:t>
      </w:r>
      <w:r w:rsidR="00B7275F">
        <w:t xml:space="preserve">any </w:t>
      </w:r>
      <w:proofErr w:type="spellStart"/>
      <w:r w:rsidR="00B7275F">
        <w:t>MySuccess</w:t>
      </w:r>
      <w:proofErr w:type="spellEnd"/>
      <w:r w:rsidR="00B7275F">
        <w:t xml:space="preserve"> tracking items such as kudos or flags</w:t>
      </w:r>
      <w:r w:rsidR="00A4204E">
        <w:t>.</w:t>
      </w:r>
      <w:r w:rsidR="008D5499">
        <w:t xml:space="preserve"> </w:t>
      </w:r>
      <w:r w:rsidR="00FE65D5">
        <w:t xml:space="preserve">Very early findings indicate that students are </w:t>
      </w:r>
      <w:r w:rsidR="000353FD">
        <w:t xml:space="preserve">more likely to meet with/contact their correct advisor </w:t>
      </w:r>
      <w:r w:rsidR="00E60DDC">
        <w:t xml:space="preserve">and more students have up-to-date plans in DegreeWorks. More information is needed to show any other </w:t>
      </w:r>
      <w:r w:rsidR="00BE33FA">
        <w:t xml:space="preserve">improvements or </w:t>
      </w:r>
      <w:r w:rsidR="00A1705E">
        <w:t>depreciations in student retention or completion.</w:t>
      </w:r>
    </w:p>
    <w:p w14:paraId="6F45428D" w14:textId="50A1796D" w:rsidR="00744177" w:rsidRDefault="00744177" w:rsidP="00E60DDC">
      <w:pPr>
        <w:pStyle w:val="Heading2"/>
      </w:pPr>
      <w:r>
        <w:t>Annual Milestone Survey</w:t>
      </w:r>
    </w:p>
    <w:p w14:paraId="32E14B33" w14:textId="697A2C9C" w:rsidR="00744177" w:rsidRDefault="00E10988" w:rsidP="00744177">
      <w:r>
        <w:t>The Annual Milestone Survey for 2019-2020 has not yet been deployed.</w:t>
      </w:r>
    </w:p>
    <w:p w14:paraId="55A5B7F0" w14:textId="4E4EE6E5" w:rsidR="00744177" w:rsidRDefault="00744177" w:rsidP="00744177">
      <w:pPr>
        <w:pStyle w:val="Heading2"/>
      </w:pPr>
      <w:r>
        <w:t>Daily Satisfaction Survey</w:t>
      </w:r>
    </w:p>
    <w:p w14:paraId="42648B00" w14:textId="0DE36DFE" w:rsidR="00744177" w:rsidRPr="00B62AE4" w:rsidRDefault="00A93D30" w:rsidP="00B62AE4">
      <w:r>
        <w:t xml:space="preserve">Academic Advising established strong baseline data </w:t>
      </w:r>
      <w:r w:rsidR="007821A3">
        <w:t xml:space="preserve">from the student satisfaction survey during a time that the department shifted to online only services. </w:t>
      </w:r>
      <w:r w:rsidR="00550396">
        <w:t>We will be able to compare these findings to our in-person appointments</w:t>
      </w:r>
      <w:r w:rsidR="00744177">
        <w:t xml:space="preserve"> as students and staff return to campus.</w:t>
      </w:r>
      <w:r w:rsidR="000D4781">
        <w:t xml:space="preserve"> Overall findings show </w:t>
      </w:r>
      <w:r w:rsidR="00616A30">
        <w:t>many</w:t>
      </w:r>
      <w:r w:rsidR="00C13786">
        <w:t xml:space="preserve"> students are satisfied with their advising experience, but there is room for improvement.</w:t>
      </w:r>
    </w:p>
    <w:p w14:paraId="42828767" w14:textId="77777777" w:rsidR="00B62AE4" w:rsidRDefault="00B62AE4" w:rsidP="00B62AE4">
      <w:pPr>
        <w:pStyle w:val="Heading1"/>
      </w:pPr>
      <w:r>
        <w:t>Action Plan (Use of Results/Improvements/Call to Action)</w:t>
      </w:r>
    </w:p>
    <w:p w14:paraId="6CB1E6B0" w14:textId="290FE9BA" w:rsidR="005668DD" w:rsidRDefault="005668DD" w:rsidP="003D1AA0">
      <w:pPr>
        <w:pStyle w:val="Heading2"/>
      </w:pPr>
      <w:r>
        <w:t>Pre-enrollment Dashboard</w:t>
      </w:r>
    </w:p>
    <w:p w14:paraId="6348055E" w14:textId="77777777" w:rsidR="00E557B6" w:rsidRDefault="003D1AA0" w:rsidP="00E557B6">
      <w:pPr>
        <w:pStyle w:val="ListParagraph"/>
        <w:numPr>
          <w:ilvl w:val="0"/>
          <w:numId w:val="3"/>
        </w:numPr>
      </w:pPr>
      <w:r>
        <w:t>Add 202</w:t>
      </w:r>
      <w:r w:rsidR="00E557B6">
        <w:t>0-2021 case management cohorts</w:t>
      </w:r>
      <w:r>
        <w:t xml:space="preserve"> in performance dashboards</w:t>
      </w:r>
    </w:p>
    <w:p w14:paraId="628640F6" w14:textId="373E1212" w:rsidR="003D1AA0" w:rsidRPr="003D1AA0" w:rsidRDefault="00E557B6" w:rsidP="00E557B6">
      <w:pPr>
        <w:pStyle w:val="ListParagraph"/>
        <w:numPr>
          <w:ilvl w:val="0"/>
          <w:numId w:val="3"/>
        </w:numPr>
      </w:pPr>
      <w:r>
        <w:t>A</w:t>
      </w:r>
      <w:r w:rsidR="003D1AA0">
        <w:t>dd ability to disaggregate by race/ethnicity and gender.</w:t>
      </w:r>
    </w:p>
    <w:p w14:paraId="3A60A068" w14:textId="68F2FBF6" w:rsidR="005668DD" w:rsidRDefault="005668DD" w:rsidP="003D1AA0">
      <w:pPr>
        <w:pStyle w:val="Heading2"/>
      </w:pPr>
      <w:r>
        <w:t xml:space="preserve">Touchpoint Tracking Using </w:t>
      </w:r>
      <w:proofErr w:type="spellStart"/>
      <w:r>
        <w:t>MySuccess</w:t>
      </w:r>
      <w:proofErr w:type="spellEnd"/>
    </w:p>
    <w:p w14:paraId="066A24BD" w14:textId="48BAAA8E" w:rsidR="00417D1C" w:rsidRDefault="00F11593" w:rsidP="00417D1C">
      <w:pPr>
        <w:pStyle w:val="ListParagraph"/>
        <w:numPr>
          <w:ilvl w:val="0"/>
          <w:numId w:val="4"/>
        </w:numPr>
      </w:pPr>
      <w:r>
        <w:t>Develop</w:t>
      </w:r>
      <w:r w:rsidR="00417D1C">
        <w:t xml:space="preserve"> with Data, Science and Analytics an advisor dashboard modeled after faculty dashboard that advisors can use to track key touchpoints and prioritize caseloads.</w:t>
      </w:r>
    </w:p>
    <w:p w14:paraId="3C2DE5F9" w14:textId="05312189" w:rsidR="009E5C74" w:rsidRDefault="009E5C74" w:rsidP="00417D1C">
      <w:pPr>
        <w:pStyle w:val="ListParagraph"/>
        <w:numPr>
          <w:ilvl w:val="0"/>
          <w:numId w:val="4"/>
        </w:numPr>
      </w:pPr>
      <w:r>
        <w:lastRenderedPageBreak/>
        <w:t xml:space="preserve">Add ability to disaggregate data by race/ethnicity, </w:t>
      </w:r>
      <w:r w:rsidR="00E332C4">
        <w:t xml:space="preserve">gender, age, Academic Standing </w:t>
      </w:r>
    </w:p>
    <w:p w14:paraId="48E0413D" w14:textId="03254140" w:rsidR="00161FCD" w:rsidRDefault="00850E84" w:rsidP="00417D1C">
      <w:pPr>
        <w:pStyle w:val="ListParagraph"/>
        <w:numPr>
          <w:ilvl w:val="0"/>
          <w:numId w:val="4"/>
        </w:numPr>
      </w:pPr>
      <w:r>
        <w:t xml:space="preserve">Utilize predictive data to show how advisor performance contributes to </w:t>
      </w:r>
      <w:r w:rsidR="00686C9B">
        <w:t>the College’s overall strategic plan.</w:t>
      </w:r>
    </w:p>
    <w:p w14:paraId="4CB90168" w14:textId="77777777" w:rsidR="003D1AA0" w:rsidRPr="003D1AA0" w:rsidRDefault="003D1AA0" w:rsidP="003D1AA0"/>
    <w:p w14:paraId="47F9F0E4" w14:textId="7077C1FA" w:rsidR="005668DD" w:rsidRDefault="005668DD" w:rsidP="003D1AA0">
      <w:pPr>
        <w:pStyle w:val="Heading2"/>
      </w:pPr>
      <w:r>
        <w:t>Annual Milestone Survey</w:t>
      </w:r>
    </w:p>
    <w:p w14:paraId="3D5993CC" w14:textId="4D4062EE" w:rsidR="003D1AA0" w:rsidRPr="003D1AA0" w:rsidRDefault="002652E8" w:rsidP="002652E8">
      <w:pPr>
        <w:pStyle w:val="ListParagraph"/>
        <w:numPr>
          <w:ilvl w:val="0"/>
          <w:numId w:val="5"/>
        </w:numPr>
      </w:pPr>
      <w:r>
        <w:t xml:space="preserve">Launch survey July 2020 and compare with </w:t>
      </w:r>
      <w:r w:rsidR="00C54DB8">
        <w:t>responses from 2019 Business cohort survey.</w:t>
      </w:r>
    </w:p>
    <w:p w14:paraId="79C22D42" w14:textId="424F4024" w:rsidR="005668DD" w:rsidRDefault="005668DD" w:rsidP="003D1AA0">
      <w:pPr>
        <w:pStyle w:val="Heading2"/>
      </w:pPr>
      <w:r>
        <w:t>Daily Satisfaction Survey</w:t>
      </w:r>
    </w:p>
    <w:p w14:paraId="789B722A" w14:textId="77777777" w:rsidR="00C54DB8" w:rsidRDefault="005335B5" w:rsidP="00C54DB8">
      <w:pPr>
        <w:pStyle w:val="ListParagraph"/>
        <w:numPr>
          <w:ilvl w:val="0"/>
          <w:numId w:val="5"/>
        </w:numPr>
      </w:pPr>
      <w:r>
        <w:t>Move the Daily Satisfaction Survey from Campus Labs to Qualtrics</w:t>
      </w:r>
      <w:r w:rsidR="00C54DB8">
        <w:t>.</w:t>
      </w:r>
      <w:r w:rsidR="00C54DB8" w:rsidRPr="00C54DB8">
        <w:t xml:space="preserve"> </w:t>
      </w:r>
    </w:p>
    <w:p w14:paraId="276C6C99" w14:textId="7BEAC52E" w:rsidR="00C54DB8" w:rsidRDefault="00C54DB8" w:rsidP="00C54DB8">
      <w:pPr>
        <w:pStyle w:val="ListParagraph"/>
        <w:numPr>
          <w:ilvl w:val="0"/>
          <w:numId w:val="5"/>
        </w:numPr>
      </w:pPr>
      <w:r>
        <w:t>Add questions to assess differences in satisfaction from in-person, phone, or virtual appointments.</w:t>
      </w:r>
    </w:p>
    <w:p w14:paraId="16CFC1D5" w14:textId="77777777" w:rsidR="00843173" w:rsidRDefault="00C54DB8" w:rsidP="00C54DB8">
      <w:pPr>
        <w:pStyle w:val="ListParagraph"/>
        <w:numPr>
          <w:ilvl w:val="0"/>
          <w:numId w:val="5"/>
        </w:numPr>
      </w:pPr>
      <w:r>
        <w:t>Automate survey invitations to go out automatically with OIT.</w:t>
      </w:r>
    </w:p>
    <w:p w14:paraId="4D733260" w14:textId="1F3FFAFB" w:rsidR="0047680B" w:rsidRDefault="00F60DD1" w:rsidP="00C54DB8">
      <w:pPr>
        <w:pStyle w:val="ListParagraph"/>
        <w:numPr>
          <w:ilvl w:val="0"/>
          <w:numId w:val="5"/>
        </w:numPr>
      </w:pPr>
      <w:r>
        <w:t>Develop unique survey links</w:t>
      </w:r>
      <w:r w:rsidR="009370D2">
        <w:t xml:space="preserve"> with DSA</w:t>
      </w:r>
      <w:r>
        <w:t xml:space="preserve"> to attach responses to individual advisors</w:t>
      </w:r>
      <w:r w:rsidR="00FF364A">
        <w:t xml:space="preserve"> and/or Areas of Study</w:t>
      </w:r>
      <w:r>
        <w:t>.</w:t>
      </w:r>
    </w:p>
    <w:p w14:paraId="627AE7E8" w14:textId="77777777" w:rsidR="007A777A" w:rsidRDefault="007A777A" w:rsidP="007A777A">
      <w:pPr>
        <w:pStyle w:val="Heading1"/>
      </w:pPr>
      <w:r>
        <w:t>Timeline</w:t>
      </w:r>
    </w:p>
    <w:p w14:paraId="3F3A2EE2" w14:textId="46B0DDD6" w:rsidR="007A777A" w:rsidRDefault="007A777A" w:rsidP="007A777A">
      <w:r>
        <w:t xml:space="preserve">Ongoing – Send out daily </w:t>
      </w:r>
      <w:r w:rsidR="00262471">
        <w:t>student satisfaction surveys.</w:t>
      </w:r>
    </w:p>
    <w:p w14:paraId="147A5F79" w14:textId="77777777" w:rsidR="00581CBA" w:rsidRDefault="00581CBA" w:rsidP="007A777A">
      <w:r>
        <w:t>June</w:t>
      </w:r>
      <w:r w:rsidR="007A777A">
        <w:t xml:space="preserve"> 2020 – Add 2020-2021 Case Management Cohorts to performance.slcc.edu dashboard</w:t>
      </w:r>
    </w:p>
    <w:p w14:paraId="2E22CDCB" w14:textId="5442362B" w:rsidR="007A777A" w:rsidRDefault="00581CBA" w:rsidP="007A777A">
      <w:r>
        <w:t xml:space="preserve">July 2020 </w:t>
      </w:r>
      <w:r w:rsidR="00265CC2">
        <w:t>–</w:t>
      </w:r>
      <w:r>
        <w:t xml:space="preserve"> </w:t>
      </w:r>
      <w:r w:rsidR="007A777A">
        <w:t>Launch Annual Milestone Learning Outcomes Survey</w:t>
      </w:r>
      <w:r w:rsidR="00265CC2">
        <w:t xml:space="preserve"> </w:t>
      </w:r>
      <w:r w:rsidR="00841429">
        <w:t>from Qualtrics</w:t>
      </w:r>
    </w:p>
    <w:p w14:paraId="70F9FA2B" w14:textId="40B1EF2B" w:rsidR="00BE6438" w:rsidRDefault="00581CBA" w:rsidP="007A777A">
      <w:r>
        <w:t>Ju</w:t>
      </w:r>
      <w:r w:rsidR="00265CC2">
        <w:t>ly 2020-</w:t>
      </w:r>
      <w:r w:rsidR="00BF42EB">
        <w:t>December</w:t>
      </w:r>
      <w:r w:rsidR="00265CC2">
        <w:t xml:space="preserve"> 2020 </w:t>
      </w:r>
      <w:r w:rsidR="00841429">
        <w:t>–</w:t>
      </w:r>
      <w:r w:rsidR="00265CC2">
        <w:t xml:space="preserve"> </w:t>
      </w:r>
      <w:r w:rsidR="00841429">
        <w:t xml:space="preserve">Develop Advisor </w:t>
      </w:r>
      <w:proofErr w:type="spellStart"/>
      <w:r w:rsidR="00841429">
        <w:t>Dasboard</w:t>
      </w:r>
      <w:proofErr w:type="spellEnd"/>
      <w:r w:rsidR="00841429">
        <w:t xml:space="preserve"> with Data Science and Analytics</w:t>
      </w:r>
      <w:r w:rsidR="00D45BD7">
        <w:t xml:space="preserve"> </w:t>
      </w:r>
      <w:r w:rsidR="00A07EAF">
        <w:t>divided</w:t>
      </w:r>
      <w:r w:rsidR="003C3916">
        <w:t xml:space="preserve"> advisor caseloads and </w:t>
      </w:r>
      <w:r w:rsidR="00A07EAF">
        <w:t xml:space="preserve">tracking </w:t>
      </w:r>
      <w:r w:rsidR="003C3916">
        <w:t>key touchpoints</w:t>
      </w:r>
      <w:r w:rsidR="00161FCD">
        <w:t>.</w:t>
      </w:r>
    </w:p>
    <w:p w14:paraId="147F0484" w14:textId="68D575CA" w:rsidR="00BF42EB" w:rsidRDefault="00BF42EB" w:rsidP="007A777A">
      <w:r>
        <w:t>January 202</w:t>
      </w:r>
      <w:r w:rsidR="00663851">
        <w:t>1-August 2021 – Develop Advisor Supervisory Dashboard with Data Science and Analytics to track student performance di</w:t>
      </w:r>
      <w:r w:rsidR="00A07EAF">
        <w:t>vided by Pathway</w:t>
      </w:r>
    </w:p>
    <w:p w14:paraId="24914220" w14:textId="761A75C5" w:rsidR="00B62AE4" w:rsidRPr="00B62AE4" w:rsidRDefault="00787CCE" w:rsidP="00B62AE4">
      <w:r>
        <w:t>May 2021-Launch Annual Milestone Learning Outcomes Survey</w:t>
      </w:r>
    </w:p>
    <w:p w14:paraId="73A298F1" w14:textId="77777777" w:rsidR="00B62AE4" w:rsidRPr="00B62AE4" w:rsidRDefault="00B62AE4" w:rsidP="00B62AE4">
      <w:pPr>
        <w:pStyle w:val="Heading1"/>
      </w:pPr>
      <w:r>
        <w:t>Other Notes</w:t>
      </w:r>
    </w:p>
    <w:p w14:paraId="3FD25527" w14:textId="77777777" w:rsidR="004D4A26" w:rsidRPr="004D4A26" w:rsidRDefault="004D4A26" w:rsidP="004D4A26"/>
    <w:sectPr w:rsidR="004D4A26" w:rsidRPr="004D4A26" w:rsidSect="004143C3">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26D70" w14:textId="77777777" w:rsidR="00612A6C" w:rsidRDefault="00612A6C" w:rsidP="004D4A26">
      <w:pPr>
        <w:spacing w:after="0" w:line="240" w:lineRule="auto"/>
      </w:pPr>
      <w:r>
        <w:separator/>
      </w:r>
    </w:p>
  </w:endnote>
  <w:endnote w:type="continuationSeparator" w:id="0">
    <w:p w14:paraId="57DACD9E" w14:textId="77777777" w:rsidR="00612A6C" w:rsidRDefault="00612A6C"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5A54" w14:textId="77777777" w:rsidR="004D4A26" w:rsidRDefault="004D4A26">
    <w:pPr>
      <w:pStyle w:val="Footer"/>
    </w:pPr>
    <w:r>
      <w:t xml:space="preserve">Due to Senior Director of Planning &amp; Implementation by </w:t>
    </w:r>
    <w:r w:rsidR="00F76B04">
      <w:t>July 1</w:t>
    </w:r>
    <w:r>
      <w:t>, 20</w:t>
    </w:r>
    <w:r w:rsidR="008C6BC7">
      <w:t>20</w:t>
    </w:r>
  </w:p>
  <w:p w14:paraId="2B3A044F"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75EA" w14:textId="77777777" w:rsidR="00612A6C" w:rsidRDefault="00612A6C" w:rsidP="004D4A26">
      <w:pPr>
        <w:spacing w:after="0" w:line="240" w:lineRule="auto"/>
      </w:pPr>
      <w:r>
        <w:separator/>
      </w:r>
    </w:p>
  </w:footnote>
  <w:footnote w:type="continuationSeparator" w:id="0">
    <w:p w14:paraId="7823D50E" w14:textId="77777777" w:rsidR="00612A6C" w:rsidRDefault="00612A6C"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0DE0"/>
    <w:multiLevelType w:val="hybridMultilevel"/>
    <w:tmpl w:val="052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F4FCF"/>
    <w:multiLevelType w:val="hybridMultilevel"/>
    <w:tmpl w:val="177E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92A89"/>
    <w:multiLevelType w:val="hybridMultilevel"/>
    <w:tmpl w:val="0F5C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20B3C"/>
    <w:multiLevelType w:val="hybridMultilevel"/>
    <w:tmpl w:val="248E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250E2"/>
    <w:multiLevelType w:val="hybridMultilevel"/>
    <w:tmpl w:val="52B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1400A"/>
    <w:rsid w:val="00022AEE"/>
    <w:rsid w:val="000353FD"/>
    <w:rsid w:val="000D4781"/>
    <w:rsid w:val="000E2B0C"/>
    <w:rsid w:val="000E36A6"/>
    <w:rsid w:val="0010224E"/>
    <w:rsid w:val="001136DD"/>
    <w:rsid w:val="00117804"/>
    <w:rsid w:val="00136C3C"/>
    <w:rsid w:val="00141EBA"/>
    <w:rsid w:val="00152819"/>
    <w:rsid w:val="00161FCD"/>
    <w:rsid w:val="00170B0B"/>
    <w:rsid w:val="00262471"/>
    <w:rsid w:val="002652E8"/>
    <w:rsid w:val="00265CC2"/>
    <w:rsid w:val="002D01BC"/>
    <w:rsid w:val="002E50FC"/>
    <w:rsid w:val="00301C9A"/>
    <w:rsid w:val="00306EFD"/>
    <w:rsid w:val="003719DE"/>
    <w:rsid w:val="0039415C"/>
    <w:rsid w:val="003C3916"/>
    <w:rsid w:val="003D1AA0"/>
    <w:rsid w:val="003F0787"/>
    <w:rsid w:val="004143C3"/>
    <w:rsid w:val="00417D1C"/>
    <w:rsid w:val="00457A49"/>
    <w:rsid w:val="00461B0A"/>
    <w:rsid w:val="0047680B"/>
    <w:rsid w:val="004B6815"/>
    <w:rsid w:val="004D4A26"/>
    <w:rsid w:val="004D4EB9"/>
    <w:rsid w:val="005335B5"/>
    <w:rsid w:val="00550396"/>
    <w:rsid w:val="005668DD"/>
    <w:rsid w:val="00581CBA"/>
    <w:rsid w:val="005B52D6"/>
    <w:rsid w:val="005C21C1"/>
    <w:rsid w:val="005E7C56"/>
    <w:rsid w:val="00612A6C"/>
    <w:rsid w:val="00614029"/>
    <w:rsid w:val="00616A30"/>
    <w:rsid w:val="00645274"/>
    <w:rsid w:val="006570BD"/>
    <w:rsid w:val="00663851"/>
    <w:rsid w:val="00677FB7"/>
    <w:rsid w:val="00686C9B"/>
    <w:rsid w:val="006A3A01"/>
    <w:rsid w:val="006B63F2"/>
    <w:rsid w:val="006C0A0F"/>
    <w:rsid w:val="00744177"/>
    <w:rsid w:val="007444B8"/>
    <w:rsid w:val="007821A3"/>
    <w:rsid w:val="00787CCE"/>
    <w:rsid w:val="007A777A"/>
    <w:rsid w:val="007C45B1"/>
    <w:rsid w:val="007D179A"/>
    <w:rsid w:val="007E4788"/>
    <w:rsid w:val="008137BF"/>
    <w:rsid w:val="00823F54"/>
    <w:rsid w:val="00841429"/>
    <w:rsid w:val="00843173"/>
    <w:rsid w:val="008504F2"/>
    <w:rsid w:val="00850E84"/>
    <w:rsid w:val="0086320B"/>
    <w:rsid w:val="00876ACF"/>
    <w:rsid w:val="00883DDF"/>
    <w:rsid w:val="0089213A"/>
    <w:rsid w:val="00894EFC"/>
    <w:rsid w:val="008A4AB6"/>
    <w:rsid w:val="008B0AEE"/>
    <w:rsid w:val="008C6BC7"/>
    <w:rsid w:val="008D5499"/>
    <w:rsid w:val="0092030C"/>
    <w:rsid w:val="009370D2"/>
    <w:rsid w:val="00941E14"/>
    <w:rsid w:val="00961D75"/>
    <w:rsid w:val="0098400A"/>
    <w:rsid w:val="00992604"/>
    <w:rsid w:val="009B2335"/>
    <w:rsid w:val="009C79BA"/>
    <w:rsid w:val="009E5C74"/>
    <w:rsid w:val="00A07EAF"/>
    <w:rsid w:val="00A1705E"/>
    <w:rsid w:val="00A4204E"/>
    <w:rsid w:val="00A728DF"/>
    <w:rsid w:val="00A80C44"/>
    <w:rsid w:val="00A93D30"/>
    <w:rsid w:val="00B34150"/>
    <w:rsid w:val="00B35B37"/>
    <w:rsid w:val="00B62AE4"/>
    <w:rsid w:val="00B7275F"/>
    <w:rsid w:val="00B808D4"/>
    <w:rsid w:val="00B846ED"/>
    <w:rsid w:val="00B84EDC"/>
    <w:rsid w:val="00BE2B2F"/>
    <w:rsid w:val="00BE33FA"/>
    <w:rsid w:val="00BE6438"/>
    <w:rsid w:val="00BF42EB"/>
    <w:rsid w:val="00C116CA"/>
    <w:rsid w:val="00C11A1C"/>
    <w:rsid w:val="00C13786"/>
    <w:rsid w:val="00C42010"/>
    <w:rsid w:val="00C54DB8"/>
    <w:rsid w:val="00C66AAF"/>
    <w:rsid w:val="00C97B33"/>
    <w:rsid w:val="00CC62C2"/>
    <w:rsid w:val="00CD75FE"/>
    <w:rsid w:val="00D04673"/>
    <w:rsid w:val="00D35570"/>
    <w:rsid w:val="00D45BD7"/>
    <w:rsid w:val="00D77036"/>
    <w:rsid w:val="00DD5141"/>
    <w:rsid w:val="00DD6188"/>
    <w:rsid w:val="00DE4FBF"/>
    <w:rsid w:val="00E058BF"/>
    <w:rsid w:val="00E10988"/>
    <w:rsid w:val="00E10A3D"/>
    <w:rsid w:val="00E12DB4"/>
    <w:rsid w:val="00E332C4"/>
    <w:rsid w:val="00E557B6"/>
    <w:rsid w:val="00E60DDC"/>
    <w:rsid w:val="00EC68F0"/>
    <w:rsid w:val="00F07BD0"/>
    <w:rsid w:val="00F11593"/>
    <w:rsid w:val="00F330CD"/>
    <w:rsid w:val="00F60DD1"/>
    <w:rsid w:val="00F76B04"/>
    <w:rsid w:val="00F942A9"/>
    <w:rsid w:val="00F96473"/>
    <w:rsid w:val="00FE65D5"/>
    <w:rsid w:val="00FF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9D05"/>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6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character" w:customStyle="1" w:styleId="Heading2Char">
    <w:name w:val="Heading 2 Char"/>
    <w:basedOn w:val="DefaultParagraphFont"/>
    <w:link w:val="Heading2"/>
    <w:uiPriority w:val="9"/>
    <w:rsid w:val="00C66AAF"/>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8400A"/>
    <w:pPr>
      <w:spacing w:after="120" w:line="240" w:lineRule="auto"/>
    </w:pPr>
    <w:rPr>
      <w:rFonts w:eastAsiaTheme="minorEastAsia"/>
      <w:b/>
      <w:bCs/>
      <w:smallCaps/>
      <w:color w:val="595959" w:themeColor="text1" w:themeTint="A6"/>
      <w:spacing w:val="6"/>
      <w:sz w:val="20"/>
      <w:szCs w:val="20"/>
    </w:rPr>
  </w:style>
  <w:style w:type="character" w:styleId="Hyperlink">
    <w:name w:val="Hyperlink"/>
    <w:basedOn w:val="DefaultParagraphFont"/>
    <w:uiPriority w:val="99"/>
    <w:unhideWhenUsed/>
    <w:rsid w:val="0098400A"/>
    <w:rPr>
      <w:color w:val="0563C1" w:themeColor="hyperlink"/>
      <w:u w:val="single"/>
    </w:rPr>
  </w:style>
  <w:style w:type="table" w:styleId="GridTable2-Accent1">
    <w:name w:val="Grid Table 2 Accent 1"/>
    <w:basedOn w:val="TableNormal"/>
    <w:uiPriority w:val="47"/>
    <w:rsid w:val="000E2B0C"/>
    <w:pPr>
      <w:spacing w:after="0" w:line="240" w:lineRule="auto"/>
    </w:pPr>
    <w:rPr>
      <w:rFonts w:eastAsiaTheme="minorEastAsia"/>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6C0A0F"/>
    <w:rPr>
      <w:b/>
      <w:bCs/>
    </w:rPr>
  </w:style>
  <w:style w:type="paragraph" w:styleId="ListParagraph">
    <w:name w:val="List Paragraph"/>
    <w:basedOn w:val="Normal"/>
    <w:uiPriority w:val="34"/>
    <w:qFormat/>
    <w:rsid w:val="006C0A0F"/>
    <w:pPr>
      <w:spacing w:after="120" w:line="264" w:lineRule="auto"/>
      <w:ind w:left="720"/>
      <w:contextualSpacing/>
    </w:pPr>
    <w:rPr>
      <w:rFonts w:eastAsiaTheme="minorEastAsia"/>
      <w:sz w:val="20"/>
      <w:szCs w:val="20"/>
    </w:rPr>
  </w:style>
  <w:style w:type="character" w:styleId="UnresolvedMention">
    <w:name w:val="Unresolved Mention"/>
    <w:basedOn w:val="DefaultParagraphFont"/>
    <w:uiPriority w:val="99"/>
    <w:semiHidden/>
    <w:unhideWhenUsed/>
    <w:rsid w:val="00B8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performance.slcc.edu/Pre-Enrollment%20Dashbo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erformance.slcc.edu/Pre-Enrollment%20Dashboard/" TargetMode="Externa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lccbruins-my.sharepoint.com/personal/asokia_slcc_edu/Documents/Survey%20Results%20Char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Sheet1!$B$108</c:f>
              <c:strCache>
                <c:ptCount val="1"/>
                <c:pt idx="0">
                  <c:v>Race/Ethnicity</c:v>
                </c:pt>
              </c:strCache>
            </c:strRef>
          </c:tx>
          <c:spPr>
            <a:solidFill>
              <a:schemeClr val="accent1"/>
            </a:solidFill>
            <a:ln>
              <a:noFill/>
            </a:ln>
            <a:effectLst/>
          </c:spPr>
          <c:invertIfNegative val="0"/>
          <c:cat>
            <c:strRef>
              <c:f>Sheet1!$A$109:$A$116</c:f>
              <c:strCache>
                <c:ptCount val="8"/>
                <c:pt idx="0">
                  <c:v>Caucasian/white</c:v>
                </c:pt>
                <c:pt idx="1">
                  <c:v>Latinx/ Hispanic</c:v>
                </c:pt>
                <c:pt idx="2">
                  <c:v>Black/ African American</c:v>
                </c:pt>
                <c:pt idx="3">
                  <c:v>Asian American</c:v>
                </c:pt>
                <c:pt idx="4">
                  <c:v>Other</c:v>
                </c:pt>
                <c:pt idx="5">
                  <c:v>American Indian/ Native American/ Alaskan Native</c:v>
                </c:pt>
                <c:pt idx="6">
                  <c:v>Pacific Islander</c:v>
                </c:pt>
                <c:pt idx="7">
                  <c:v>Prefer not to answer</c:v>
                </c:pt>
              </c:strCache>
            </c:strRef>
          </c:cat>
          <c:val>
            <c:numRef>
              <c:f>Sheet1!$B$109:$B$116</c:f>
              <c:numCache>
                <c:formatCode>General</c:formatCode>
                <c:ptCount val="8"/>
                <c:pt idx="0">
                  <c:v>128</c:v>
                </c:pt>
                <c:pt idx="1">
                  <c:v>48</c:v>
                </c:pt>
                <c:pt idx="2">
                  <c:v>19</c:v>
                </c:pt>
                <c:pt idx="3">
                  <c:v>7</c:v>
                </c:pt>
                <c:pt idx="4">
                  <c:v>7</c:v>
                </c:pt>
                <c:pt idx="5">
                  <c:v>6</c:v>
                </c:pt>
                <c:pt idx="6">
                  <c:v>4</c:v>
                </c:pt>
                <c:pt idx="7">
                  <c:v>20</c:v>
                </c:pt>
              </c:numCache>
            </c:numRef>
          </c:val>
          <c:extLst>
            <c:ext xmlns:c16="http://schemas.microsoft.com/office/drawing/2014/chart" uri="{C3380CC4-5D6E-409C-BE32-E72D297353CC}">
              <c16:uniqueId val="{00000000-5EA0-4DA5-8799-76F0353FF465}"/>
            </c:ext>
          </c:extLst>
        </c:ser>
        <c:dLbls>
          <c:showLegendKey val="0"/>
          <c:showVal val="0"/>
          <c:showCatName val="0"/>
          <c:showSerName val="0"/>
          <c:showPercent val="0"/>
          <c:showBubbleSize val="0"/>
        </c:dLbls>
        <c:gapWidth val="182"/>
        <c:axId val="1863622959"/>
        <c:axId val="1944274095"/>
      </c:barChart>
      <c:catAx>
        <c:axId val="1863622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274095"/>
        <c:crosses val="autoZero"/>
        <c:auto val="1"/>
        <c:lblAlgn val="ctr"/>
        <c:lblOffset val="100"/>
        <c:noMultiLvlLbl val="0"/>
      </c:catAx>
      <c:valAx>
        <c:axId val="19442740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3622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Sheet1!$B$127</c:f>
              <c:strCache>
                <c:ptCount val="1"/>
                <c:pt idx="0">
                  <c:v>Gender</c:v>
                </c:pt>
              </c:strCache>
            </c:strRef>
          </c:tx>
          <c:spPr>
            <a:solidFill>
              <a:schemeClr val="accent1"/>
            </a:solidFill>
            <a:ln>
              <a:noFill/>
            </a:ln>
            <a:effectLst/>
          </c:spPr>
          <c:invertIfNegative val="0"/>
          <c:cat>
            <c:strRef>
              <c:f>Sheet1!$A$128:$A$132</c:f>
              <c:strCache>
                <c:ptCount val="5"/>
                <c:pt idx="0">
                  <c:v>Female</c:v>
                </c:pt>
                <c:pt idx="1">
                  <c:v>Male</c:v>
                </c:pt>
                <c:pt idx="2">
                  <c:v>Non-binary</c:v>
                </c:pt>
                <c:pt idx="3">
                  <c:v>Prefer not to say</c:v>
                </c:pt>
                <c:pt idx="4">
                  <c:v>Other:</c:v>
                </c:pt>
              </c:strCache>
            </c:strRef>
          </c:cat>
          <c:val>
            <c:numRef>
              <c:f>Sheet1!$B$128:$B$132</c:f>
              <c:numCache>
                <c:formatCode>General</c:formatCode>
                <c:ptCount val="5"/>
                <c:pt idx="0">
                  <c:v>142</c:v>
                </c:pt>
                <c:pt idx="1">
                  <c:v>60</c:v>
                </c:pt>
                <c:pt idx="2">
                  <c:v>3</c:v>
                </c:pt>
                <c:pt idx="3">
                  <c:v>9</c:v>
                </c:pt>
                <c:pt idx="4">
                  <c:v>1</c:v>
                </c:pt>
              </c:numCache>
            </c:numRef>
          </c:val>
          <c:extLst>
            <c:ext xmlns:c16="http://schemas.microsoft.com/office/drawing/2014/chart" uri="{C3380CC4-5D6E-409C-BE32-E72D297353CC}">
              <c16:uniqueId val="{00000000-5E6C-4062-A4A9-40DBF2EE0B7C}"/>
            </c:ext>
          </c:extLst>
        </c:ser>
        <c:dLbls>
          <c:showLegendKey val="0"/>
          <c:showVal val="0"/>
          <c:showCatName val="0"/>
          <c:showSerName val="0"/>
          <c:showPercent val="0"/>
          <c:showBubbleSize val="0"/>
        </c:dLbls>
        <c:gapWidth val="182"/>
        <c:axId val="1874439215"/>
        <c:axId val="1867044735"/>
      </c:barChart>
      <c:catAx>
        <c:axId val="18744392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044735"/>
        <c:crosses val="autoZero"/>
        <c:auto val="1"/>
        <c:lblAlgn val="ctr"/>
        <c:lblOffset val="100"/>
        <c:noMultiLvlLbl val="0"/>
      </c:catAx>
      <c:valAx>
        <c:axId val="1867044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4439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Responses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6CD-48CE-8C53-712FCD8094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6CD-48CE-8C53-712FCD8094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6CD-48CE-8C53-712FCD80942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6CD-48CE-8C53-712FCD80942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6CD-48CE-8C53-712FCD80942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96CD-48CE-8C53-712FCD8094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Strongly Agree</c:v>
                </c:pt>
                <c:pt idx="1">
                  <c:v>Agree</c:v>
                </c:pt>
                <c:pt idx="2">
                  <c:v>Neither Agree nor Disagree</c:v>
                </c:pt>
                <c:pt idx="3">
                  <c:v>Disagree</c:v>
                </c:pt>
                <c:pt idx="4">
                  <c:v>Strongly Disagree</c:v>
                </c:pt>
                <c:pt idx="5">
                  <c:v>Not Applicable</c:v>
                </c:pt>
              </c:strCache>
            </c:strRef>
          </c:cat>
          <c:val>
            <c:numRef>
              <c:f>Sheet1!$B$2:$B$7</c:f>
              <c:numCache>
                <c:formatCode>General</c:formatCode>
                <c:ptCount val="6"/>
                <c:pt idx="0">
                  <c:v>137</c:v>
                </c:pt>
                <c:pt idx="1">
                  <c:v>32</c:v>
                </c:pt>
                <c:pt idx="2">
                  <c:v>10</c:v>
                </c:pt>
                <c:pt idx="3">
                  <c:v>3</c:v>
                </c:pt>
                <c:pt idx="4">
                  <c:v>27</c:v>
                </c:pt>
                <c:pt idx="5">
                  <c:v>6</c:v>
                </c:pt>
              </c:numCache>
            </c:numRef>
          </c:val>
          <c:extLst>
            <c:ext xmlns:c16="http://schemas.microsoft.com/office/drawing/2014/chart" uri="{C3380CC4-5D6E-409C-BE32-E72D297353CC}">
              <c16:uniqueId val="{0000000C-96CD-48CE-8C53-712FCD80942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Sheet1!$B$23</c:f>
              <c:strCache>
                <c:ptCount val="1"/>
                <c:pt idx="0">
                  <c:v>Responses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95A-4CB0-BEAC-AEBDE7DF440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95A-4CB0-BEAC-AEBDE7DF440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95A-4CB0-BEAC-AEBDE7DF440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95A-4CB0-BEAC-AEBDE7DF4400}"/>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295A-4CB0-BEAC-AEBDE7DF4400}"/>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295A-4CB0-BEAC-AEBDE7DF440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Sheet1!$A$24:$A$29</c:f>
              <c:strCache>
                <c:ptCount val="6"/>
                <c:pt idx="0">
                  <c:v>Strongly Agree</c:v>
                </c:pt>
                <c:pt idx="1">
                  <c:v>Agree</c:v>
                </c:pt>
                <c:pt idx="2">
                  <c:v>Neither Agree nor Disagree</c:v>
                </c:pt>
                <c:pt idx="3">
                  <c:v>Disagree</c:v>
                </c:pt>
                <c:pt idx="4">
                  <c:v>Strongly Disagree</c:v>
                </c:pt>
                <c:pt idx="5">
                  <c:v>Not Applicable</c:v>
                </c:pt>
              </c:strCache>
            </c:strRef>
          </c:cat>
          <c:val>
            <c:numRef>
              <c:f>Sheet1!$B$24:$B$29</c:f>
              <c:numCache>
                <c:formatCode>General</c:formatCode>
                <c:ptCount val="6"/>
                <c:pt idx="0">
                  <c:v>134</c:v>
                </c:pt>
                <c:pt idx="1">
                  <c:v>31</c:v>
                </c:pt>
                <c:pt idx="2">
                  <c:v>7</c:v>
                </c:pt>
                <c:pt idx="3">
                  <c:v>5</c:v>
                </c:pt>
                <c:pt idx="4">
                  <c:v>31</c:v>
                </c:pt>
                <c:pt idx="5">
                  <c:v>4</c:v>
                </c:pt>
              </c:numCache>
            </c:numRef>
          </c:val>
          <c:extLst>
            <c:ext xmlns:c16="http://schemas.microsoft.com/office/drawing/2014/chart" uri="{C3380CC4-5D6E-409C-BE32-E72D297353CC}">
              <c16:uniqueId val="{0000000C-295A-4CB0-BEAC-AEBDE7DF440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Sheet1!$B$50</c:f>
              <c:strCache>
                <c:ptCount val="1"/>
                <c:pt idx="0">
                  <c:v>Responses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C27-48FB-9D95-49D0D0DBC8F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C27-48FB-9D95-49D0D0DBC8F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C27-48FB-9D95-49D0D0DBC8F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C27-48FB-9D95-49D0D0DBC8F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EC27-48FB-9D95-49D0D0DBC8F7}"/>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EC27-48FB-9D95-49D0D0DBC8F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Sheet1!$A$51:$A$56</c:f>
              <c:strCache>
                <c:ptCount val="6"/>
                <c:pt idx="0">
                  <c:v>Strongly Agree</c:v>
                </c:pt>
                <c:pt idx="1">
                  <c:v>Agree</c:v>
                </c:pt>
                <c:pt idx="2">
                  <c:v>Neither Agree nor Disagree</c:v>
                </c:pt>
                <c:pt idx="3">
                  <c:v>Disagree</c:v>
                </c:pt>
                <c:pt idx="4">
                  <c:v>Strongly Disagree</c:v>
                </c:pt>
                <c:pt idx="5">
                  <c:v>Not Applicable</c:v>
                </c:pt>
              </c:strCache>
            </c:strRef>
          </c:cat>
          <c:val>
            <c:numRef>
              <c:f>Sheet1!$B$51:$B$56</c:f>
              <c:numCache>
                <c:formatCode>General</c:formatCode>
                <c:ptCount val="6"/>
                <c:pt idx="0">
                  <c:v>134</c:v>
                </c:pt>
                <c:pt idx="1">
                  <c:v>23</c:v>
                </c:pt>
                <c:pt idx="2">
                  <c:v>15</c:v>
                </c:pt>
                <c:pt idx="3">
                  <c:v>5</c:v>
                </c:pt>
                <c:pt idx="4">
                  <c:v>26</c:v>
                </c:pt>
                <c:pt idx="5">
                  <c:v>11</c:v>
                </c:pt>
              </c:numCache>
            </c:numRef>
          </c:val>
          <c:extLst>
            <c:ext xmlns:c16="http://schemas.microsoft.com/office/drawing/2014/chart" uri="{C3380CC4-5D6E-409C-BE32-E72D297353CC}">
              <c16:uniqueId val="{0000000C-EC27-48FB-9D95-49D0D0DBC8F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Sheet1!$B$69</c:f>
              <c:strCache>
                <c:ptCount val="1"/>
                <c:pt idx="0">
                  <c:v>Responses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8ED-4A61-876C-68C9CAEC9D9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8ED-4A61-876C-68C9CAEC9D9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8ED-4A61-876C-68C9CAEC9D9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8ED-4A61-876C-68C9CAEC9D9F}"/>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8ED-4A61-876C-68C9CAEC9D9F}"/>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8ED-4A61-876C-68C9CAEC9D9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Sheet1!$A$70:$A$75</c:f>
              <c:strCache>
                <c:ptCount val="6"/>
                <c:pt idx="0">
                  <c:v>Strongly Agree</c:v>
                </c:pt>
                <c:pt idx="1">
                  <c:v>Agree</c:v>
                </c:pt>
                <c:pt idx="2">
                  <c:v>Neither Agree nor Disagree</c:v>
                </c:pt>
                <c:pt idx="3">
                  <c:v>Disagree</c:v>
                </c:pt>
                <c:pt idx="4">
                  <c:v>Strongly Disagree</c:v>
                </c:pt>
                <c:pt idx="5">
                  <c:v>Not Applicable</c:v>
                </c:pt>
              </c:strCache>
            </c:strRef>
          </c:cat>
          <c:val>
            <c:numRef>
              <c:f>Sheet1!$B$70:$B$75</c:f>
              <c:numCache>
                <c:formatCode>General</c:formatCode>
                <c:ptCount val="6"/>
                <c:pt idx="0">
                  <c:v>145</c:v>
                </c:pt>
                <c:pt idx="1">
                  <c:v>20</c:v>
                </c:pt>
                <c:pt idx="2">
                  <c:v>6</c:v>
                </c:pt>
                <c:pt idx="3">
                  <c:v>6</c:v>
                </c:pt>
                <c:pt idx="4">
                  <c:v>28</c:v>
                </c:pt>
                <c:pt idx="5">
                  <c:v>5</c:v>
                </c:pt>
              </c:numCache>
            </c:numRef>
          </c:val>
          <c:extLst>
            <c:ext xmlns:c16="http://schemas.microsoft.com/office/drawing/2014/chart" uri="{C3380CC4-5D6E-409C-BE32-E72D297353CC}">
              <c16:uniqueId val="{0000000C-18ED-4A61-876C-68C9CAEC9D9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Sheet1!$B$88</c:f>
              <c:strCache>
                <c:ptCount val="1"/>
                <c:pt idx="0">
                  <c:v>Responses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135-43C7-A662-977DE935B4F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135-43C7-A662-977DE935B4F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135-43C7-A662-977DE935B4F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135-43C7-A662-977DE935B4F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A135-43C7-A662-977DE935B4FB}"/>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A135-43C7-A662-977DE935B4F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Sheet1!$A$89:$A$94</c:f>
              <c:strCache>
                <c:ptCount val="6"/>
                <c:pt idx="0">
                  <c:v>Strongly Agree</c:v>
                </c:pt>
                <c:pt idx="1">
                  <c:v>Agree</c:v>
                </c:pt>
                <c:pt idx="2">
                  <c:v>Neither Agree nor Disagree</c:v>
                </c:pt>
                <c:pt idx="3">
                  <c:v>Disagree</c:v>
                </c:pt>
                <c:pt idx="4">
                  <c:v>Strongly Disagree</c:v>
                </c:pt>
                <c:pt idx="5">
                  <c:v>Not Applicable</c:v>
                </c:pt>
              </c:strCache>
            </c:strRef>
          </c:cat>
          <c:val>
            <c:numRef>
              <c:f>Sheet1!$B$89:$B$94</c:f>
              <c:numCache>
                <c:formatCode>General</c:formatCode>
                <c:ptCount val="6"/>
                <c:pt idx="0">
                  <c:v>150</c:v>
                </c:pt>
                <c:pt idx="1">
                  <c:v>19</c:v>
                </c:pt>
                <c:pt idx="2">
                  <c:v>5</c:v>
                </c:pt>
                <c:pt idx="3">
                  <c:v>4</c:v>
                </c:pt>
                <c:pt idx="4">
                  <c:v>27</c:v>
                </c:pt>
                <c:pt idx="5">
                  <c:v>4</c:v>
                </c:pt>
              </c:numCache>
            </c:numRef>
          </c:val>
          <c:extLst>
            <c:ext xmlns:c16="http://schemas.microsoft.com/office/drawing/2014/chart" uri="{C3380CC4-5D6E-409C-BE32-E72D297353CC}">
              <c16:uniqueId val="{0000000C-A135-43C7-A662-977DE935B4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523BB-8077-4321-BBD1-84906FE60572}">
  <ds:schemaRefs>
    <ds:schemaRef ds:uri="http://schemas.microsoft.com/sharepoint/v3/contenttype/forms"/>
  </ds:schemaRefs>
</ds:datastoreItem>
</file>

<file path=customXml/itemProps2.xml><?xml version="1.0" encoding="utf-8"?>
<ds:datastoreItem xmlns:ds="http://schemas.openxmlformats.org/officeDocument/2006/customXml" ds:itemID="{F6783E7F-1CDC-4E72-8888-5BE7DA737451}">
  <ds:schemaRefs>
    <ds:schemaRef ds:uri="http://schemas.microsoft.com/office/2006/documentManagement/types"/>
    <ds:schemaRef ds:uri="3ae12949-e329-44e1-a20c-608d68a815c2"/>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7A7E50B-0ED4-4535-8A9D-9A29011E6DF7}"/>
</file>

<file path=docProps/app.xml><?xml version="1.0" encoding="utf-8"?>
<Properties xmlns="http://schemas.openxmlformats.org/officeDocument/2006/extended-properties" xmlns:vt="http://schemas.openxmlformats.org/officeDocument/2006/docPropsVTypes">
  <Template>Normal</Template>
  <TotalTime>1</TotalTime>
  <Pages>8</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2020-06-23T20:56:00Z</dcterms:created>
  <dcterms:modified xsi:type="dcterms:W3CDTF">2020-06-23T20:56:00Z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